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533F9" w14:textId="4B31A0D3" w:rsidR="00F51D53" w:rsidRDefault="00E67B61" w:rsidP="00D6729D">
      <w:pPr>
        <w:spacing w:line="240" w:lineRule="auto"/>
        <w:contextualSpacing/>
      </w:pPr>
      <w:r>
        <w:t xml:space="preserve"> </w:t>
      </w:r>
      <w:r w:rsidR="00B3674C">
        <w:rPr>
          <w:noProof/>
        </w:rPr>
        <w:drawing>
          <wp:inline distT="0" distB="0" distL="0" distR="0" wp14:anchorId="0C331177" wp14:editId="1E31B51C">
            <wp:extent cx="1503598" cy="1119116"/>
            <wp:effectExtent l="0" t="0" r="190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9725" cy="1131119"/>
                    </a:xfrm>
                    <a:prstGeom prst="rect">
                      <a:avLst/>
                    </a:prstGeom>
                    <a:noFill/>
                    <a:ln>
                      <a:noFill/>
                    </a:ln>
                  </pic:spPr>
                </pic:pic>
              </a:graphicData>
            </a:graphic>
          </wp:inline>
        </w:drawing>
      </w:r>
    </w:p>
    <w:p w14:paraId="1A77D5B7" w14:textId="77777777" w:rsidR="00790925" w:rsidRDefault="00790925" w:rsidP="00D6729D">
      <w:pPr>
        <w:spacing w:line="240" w:lineRule="auto"/>
        <w:contextualSpacing/>
      </w:pPr>
    </w:p>
    <w:p w14:paraId="024E8382" w14:textId="77777777" w:rsidR="00A25B60" w:rsidRDefault="00A25B60" w:rsidP="00D6729D">
      <w:pPr>
        <w:spacing w:line="240" w:lineRule="auto"/>
        <w:contextualSpacing/>
        <w:rPr>
          <w:rFonts w:ascii="Calibri" w:hAnsi="Calibri" w:cs="Calibri"/>
          <w:b/>
          <w:color w:val="1F3864" w:themeColor="accent1" w:themeShade="80"/>
          <w:sz w:val="40"/>
        </w:rPr>
      </w:pPr>
    </w:p>
    <w:p w14:paraId="1917C448" w14:textId="77777777" w:rsidR="00D672A1" w:rsidRDefault="00D672A1" w:rsidP="00D6729D">
      <w:pPr>
        <w:spacing w:line="240" w:lineRule="auto"/>
        <w:contextualSpacing/>
        <w:rPr>
          <w:rFonts w:ascii="Calibri" w:hAnsi="Calibri" w:cs="Calibri"/>
          <w:b/>
          <w:color w:val="1F3864" w:themeColor="accent1" w:themeShade="80"/>
          <w:sz w:val="40"/>
        </w:rPr>
      </w:pPr>
    </w:p>
    <w:p w14:paraId="5E492312" w14:textId="77777777" w:rsidR="00D672A1" w:rsidRDefault="00D672A1" w:rsidP="00D6729D">
      <w:pPr>
        <w:spacing w:line="240" w:lineRule="auto"/>
        <w:contextualSpacing/>
        <w:rPr>
          <w:rFonts w:ascii="Calibri" w:hAnsi="Calibri" w:cs="Calibri"/>
          <w:b/>
          <w:color w:val="1F3864" w:themeColor="accent1" w:themeShade="80"/>
          <w:sz w:val="40"/>
        </w:rPr>
      </w:pPr>
    </w:p>
    <w:p w14:paraId="18111A43" w14:textId="77777777" w:rsidR="00121834" w:rsidRDefault="00790925" w:rsidP="00D6729D">
      <w:pPr>
        <w:spacing w:line="240" w:lineRule="auto"/>
        <w:contextualSpacing/>
        <w:rPr>
          <w:rFonts w:ascii="Calibri" w:hAnsi="Calibri" w:cs="Calibri"/>
          <w:b/>
          <w:color w:val="1F3864" w:themeColor="accent1" w:themeShade="80"/>
          <w:sz w:val="40"/>
        </w:rPr>
      </w:pPr>
      <w:r w:rsidRPr="00E54A44">
        <w:rPr>
          <w:rFonts w:ascii="Calibri" w:hAnsi="Calibri" w:cs="Calibri"/>
          <w:b/>
          <w:color w:val="1F3864" w:themeColor="accent1" w:themeShade="80"/>
          <w:sz w:val="40"/>
        </w:rPr>
        <w:t xml:space="preserve">Quality Assurance </w:t>
      </w:r>
      <w:r w:rsidR="00660025">
        <w:rPr>
          <w:rFonts w:ascii="Calibri" w:hAnsi="Calibri" w:cs="Calibri"/>
          <w:b/>
          <w:color w:val="1F3864" w:themeColor="accent1" w:themeShade="80"/>
          <w:sz w:val="40"/>
        </w:rPr>
        <w:t>Report</w:t>
      </w:r>
    </w:p>
    <w:p w14:paraId="36D363AC" w14:textId="75899D35" w:rsidR="00A25B60" w:rsidRDefault="00660025" w:rsidP="00D6729D">
      <w:pPr>
        <w:spacing w:line="240" w:lineRule="auto"/>
        <w:contextualSpacing/>
        <w:rPr>
          <w:rFonts w:ascii="Calibri" w:hAnsi="Calibri" w:cs="Calibri"/>
          <w:b/>
          <w:color w:val="1F3864" w:themeColor="accent1" w:themeShade="80"/>
          <w:sz w:val="40"/>
        </w:rPr>
      </w:pPr>
      <w:r>
        <w:rPr>
          <w:rFonts w:ascii="Calibri" w:hAnsi="Calibri" w:cs="Calibri"/>
          <w:b/>
          <w:color w:val="1F3864" w:themeColor="accent1" w:themeShade="80"/>
          <w:sz w:val="40"/>
        </w:rPr>
        <w:t xml:space="preserve">Standards </w:t>
      </w:r>
      <w:r w:rsidR="0073339F">
        <w:rPr>
          <w:rFonts w:ascii="Calibri" w:hAnsi="Calibri" w:cs="Calibri"/>
          <w:b/>
          <w:color w:val="1F3864" w:themeColor="accent1" w:themeShade="80"/>
          <w:sz w:val="40"/>
        </w:rPr>
        <w:t>f</w:t>
      </w:r>
      <w:r>
        <w:rPr>
          <w:rFonts w:ascii="Calibri" w:hAnsi="Calibri" w:cs="Calibri"/>
          <w:b/>
          <w:color w:val="1F3864" w:themeColor="accent1" w:themeShade="80"/>
          <w:sz w:val="40"/>
        </w:rPr>
        <w:t>or Specialty Education</w:t>
      </w:r>
    </w:p>
    <w:p w14:paraId="66A39A2B" w14:textId="77777777" w:rsidR="00A25B60" w:rsidRPr="00E54A44" w:rsidRDefault="00A25B60" w:rsidP="00D6729D">
      <w:pPr>
        <w:spacing w:line="240" w:lineRule="auto"/>
        <w:contextualSpacing/>
        <w:rPr>
          <w:rFonts w:ascii="Calibri" w:hAnsi="Calibri" w:cs="Calibri"/>
          <w:b/>
          <w:color w:val="1F3864" w:themeColor="accent1" w:themeShade="80"/>
          <w:sz w:val="40"/>
        </w:rPr>
      </w:pPr>
    </w:p>
    <w:tbl>
      <w:tblPr>
        <w:tblStyle w:val="TableGrid"/>
        <w:tblW w:w="9067" w:type="dxa"/>
        <w:tblLook w:val="04A0" w:firstRow="1" w:lastRow="0" w:firstColumn="1" w:lastColumn="0" w:noHBand="0" w:noVBand="1"/>
      </w:tblPr>
      <w:tblGrid>
        <w:gridCol w:w="6516"/>
        <w:gridCol w:w="2551"/>
      </w:tblGrid>
      <w:tr w:rsidR="00C765B0" w14:paraId="1585367C" w14:textId="77777777" w:rsidTr="00C765B0">
        <w:tc>
          <w:tcPr>
            <w:tcW w:w="6516" w:type="dxa"/>
            <w:shd w:val="clear" w:color="auto" w:fill="1F3864" w:themeFill="accent1" w:themeFillShade="80"/>
          </w:tcPr>
          <w:p w14:paraId="2D5E57E9" w14:textId="77777777" w:rsidR="00C765B0" w:rsidRPr="00E54A44" w:rsidRDefault="00C765B0" w:rsidP="00D6729D">
            <w:pPr>
              <w:contextualSpacing/>
              <w:rPr>
                <w:rFonts w:ascii="Calibri" w:hAnsi="Calibri" w:cs="Calibri"/>
                <w:color w:val="FFFFFF" w:themeColor="background1"/>
                <w:sz w:val="28"/>
              </w:rPr>
            </w:pPr>
            <w:r>
              <w:rPr>
                <w:rFonts w:ascii="Calibri" w:hAnsi="Calibri" w:cs="Calibri"/>
                <w:color w:val="FFFFFF" w:themeColor="background1"/>
                <w:sz w:val="28"/>
              </w:rPr>
              <w:t>Education Provider/Awarding Body</w:t>
            </w:r>
          </w:p>
        </w:tc>
        <w:tc>
          <w:tcPr>
            <w:tcW w:w="2551" w:type="dxa"/>
            <w:shd w:val="clear" w:color="auto" w:fill="1F3864" w:themeFill="accent1" w:themeFillShade="80"/>
          </w:tcPr>
          <w:p w14:paraId="175F5BE4" w14:textId="77777777" w:rsidR="00C765B0" w:rsidRPr="00E54A44" w:rsidRDefault="00C765B0" w:rsidP="00D6729D">
            <w:pPr>
              <w:contextualSpacing/>
              <w:rPr>
                <w:rFonts w:ascii="Calibri" w:hAnsi="Calibri" w:cs="Calibri"/>
                <w:color w:val="FFFFFF" w:themeColor="background1"/>
                <w:sz w:val="28"/>
              </w:rPr>
            </w:pPr>
            <w:r>
              <w:rPr>
                <w:rFonts w:ascii="Calibri" w:hAnsi="Calibri" w:cs="Calibri"/>
                <w:color w:val="FFFFFF" w:themeColor="background1"/>
                <w:sz w:val="28"/>
              </w:rPr>
              <w:t>Programme</w:t>
            </w:r>
          </w:p>
        </w:tc>
      </w:tr>
      <w:tr w:rsidR="00C765B0" w14:paraId="494013F1" w14:textId="77777777" w:rsidTr="00C765B0">
        <w:tc>
          <w:tcPr>
            <w:tcW w:w="6516" w:type="dxa"/>
          </w:tcPr>
          <w:p w14:paraId="0855C132" w14:textId="315AD77D" w:rsidR="00C765B0" w:rsidRDefault="00AE22DC" w:rsidP="00D6729D">
            <w:pPr>
              <w:contextualSpacing/>
              <w:rPr>
                <w:rFonts w:ascii="Calibri" w:hAnsi="Calibri" w:cs="Calibri"/>
                <w:bCs/>
                <w:color w:val="1F3864" w:themeColor="accent1" w:themeShade="80"/>
                <w:sz w:val="28"/>
                <w:szCs w:val="28"/>
              </w:rPr>
            </w:pPr>
            <w:r>
              <w:rPr>
                <w:rFonts w:ascii="Calibri" w:hAnsi="Calibri" w:cs="Calibri"/>
                <w:bCs/>
                <w:color w:val="1F3864" w:themeColor="accent1" w:themeShade="80"/>
                <w:sz w:val="28"/>
                <w:szCs w:val="28"/>
              </w:rPr>
              <w:t xml:space="preserve">Health Education England South West, Thames Valley </w:t>
            </w:r>
            <w:r w:rsidR="007562DC">
              <w:rPr>
                <w:rFonts w:ascii="Calibri" w:hAnsi="Calibri" w:cs="Calibri"/>
                <w:bCs/>
                <w:color w:val="1F3864" w:themeColor="accent1" w:themeShade="80"/>
                <w:sz w:val="28"/>
                <w:szCs w:val="28"/>
              </w:rPr>
              <w:t>and</w:t>
            </w:r>
            <w:r>
              <w:rPr>
                <w:rFonts w:ascii="Calibri" w:hAnsi="Calibri" w:cs="Calibri"/>
                <w:bCs/>
                <w:color w:val="1F3864" w:themeColor="accent1" w:themeShade="80"/>
                <w:sz w:val="28"/>
                <w:szCs w:val="28"/>
              </w:rPr>
              <w:t xml:space="preserve"> Wessex (HEE SW TVW)</w:t>
            </w:r>
          </w:p>
          <w:p w14:paraId="3287EF4A" w14:textId="71028283" w:rsidR="00A22C30" w:rsidRPr="007A517A" w:rsidRDefault="00A22C30" w:rsidP="00D6729D">
            <w:pPr>
              <w:contextualSpacing/>
              <w:rPr>
                <w:rFonts w:ascii="Calibri" w:hAnsi="Calibri" w:cs="Calibri"/>
                <w:bCs/>
                <w:color w:val="1F3864" w:themeColor="accent1" w:themeShade="80"/>
                <w:sz w:val="28"/>
                <w:szCs w:val="28"/>
              </w:rPr>
            </w:pPr>
          </w:p>
        </w:tc>
        <w:tc>
          <w:tcPr>
            <w:tcW w:w="2551" w:type="dxa"/>
          </w:tcPr>
          <w:p w14:paraId="23F3C539" w14:textId="77777777" w:rsidR="00C765B0" w:rsidRPr="00E54A44" w:rsidRDefault="00C765B0" w:rsidP="00D6729D">
            <w:pPr>
              <w:contextualSpacing/>
              <w:rPr>
                <w:rFonts w:ascii="Calibri" w:hAnsi="Calibri" w:cs="Calibri"/>
                <w:color w:val="1F3864" w:themeColor="accent1" w:themeShade="80"/>
                <w:sz w:val="28"/>
              </w:rPr>
            </w:pPr>
            <w:r w:rsidRPr="007A517A">
              <w:rPr>
                <w:rFonts w:ascii="Calibri" w:hAnsi="Calibri" w:cs="Calibri"/>
                <w:color w:val="1F3864" w:themeColor="accent1" w:themeShade="80"/>
                <w:sz w:val="28"/>
              </w:rPr>
              <w:t>Specialty</w:t>
            </w:r>
            <w:r>
              <w:rPr>
                <w:rFonts w:ascii="Calibri" w:hAnsi="Calibri" w:cs="Calibri"/>
                <w:color w:val="1F3864" w:themeColor="accent1" w:themeShade="80"/>
                <w:sz w:val="28"/>
              </w:rPr>
              <w:t xml:space="preserve"> Training</w:t>
            </w:r>
          </w:p>
        </w:tc>
      </w:tr>
    </w:tbl>
    <w:p w14:paraId="3A49DA45" w14:textId="77777777" w:rsidR="00A25B60" w:rsidRDefault="00A25B60" w:rsidP="00D6729D">
      <w:pPr>
        <w:spacing w:line="240" w:lineRule="auto"/>
        <w:contextualSpacing/>
        <w:rPr>
          <w:rFonts w:ascii="Calibri" w:hAnsi="Calibri" w:cs="Calibri"/>
          <w:color w:val="1F3864" w:themeColor="accent1" w:themeShade="80"/>
          <w:sz w:val="28"/>
        </w:rPr>
      </w:pPr>
    </w:p>
    <w:tbl>
      <w:tblPr>
        <w:tblStyle w:val="TableGrid"/>
        <w:tblW w:w="0" w:type="auto"/>
        <w:tblLook w:val="04A0" w:firstRow="1" w:lastRow="0" w:firstColumn="1" w:lastColumn="0" w:noHBand="0" w:noVBand="1"/>
      </w:tblPr>
      <w:tblGrid>
        <w:gridCol w:w="6516"/>
        <w:gridCol w:w="2500"/>
      </w:tblGrid>
      <w:tr w:rsidR="00E54A44" w14:paraId="76637866" w14:textId="77777777" w:rsidTr="0041710E">
        <w:tc>
          <w:tcPr>
            <w:tcW w:w="6516" w:type="dxa"/>
            <w:shd w:val="clear" w:color="auto" w:fill="1F3864" w:themeFill="accent1" w:themeFillShade="80"/>
          </w:tcPr>
          <w:p w14:paraId="3E475B1D" w14:textId="6604934E" w:rsidR="00E54A44" w:rsidRPr="00E54A44" w:rsidRDefault="00E54A44" w:rsidP="00D6729D">
            <w:pPr>
              <w:contextualSpacing/>
              <w:rPr>
                <w:rFonts w:ascii="Calibri" w:hAnsi="Calibri" w:cs="Calibri"/>
                <w:color w:val="FFFFFF" w:themeColor="background1"/>
                <w:sz w:val="28"/>
              </w:rPr>
            </w:pPr>
            <w:r>
              <w:rPr>
                <w:rFonts w:ascii="Calibri" w:hAnsi="Calibri" w:cs="Calibri"/>
                <w:color w:val="FFFFFF" w:themeColor="background1"/>
                <w:sz w:val="28"/>
              </w:rPr>
              <w:t xml:space="preserve">Outcome of </w:t>
            </w:r>
            <w:r w:rsidR="00DC29EB">
              <w:rPr>
                <w:rFonts w:ascii="Calibri" w:hAnsi="Calibri" w:cs="Calibri"/>
                <w:color w:val="FFFFFF" w:themeColor="background1"/>
                <w:sz w:val="28"/>
              </w:rPr>
              <w:t xml:space="preserve">Specialty Training </w:t>
            </w:r>
            <w:r w:rsidR="00F931A0">
              <w:rPr>
                <w:rFonts w:ascii="Calibri" w:hAnsi="Calibri" w:cs="Calibri"/>
                <w:color w:val="FFFFFF" w:themeColor="background1"/>
                <w:sz w:val="28"/>
              </w:rPr>
              <w:t>self-assessment</w:t>
            </w:r>
            <w:r w:rsidR="00DC29EB">
              <w:rPr>
                <w:rFonts w:ascii="Calibri" w:hAnsi="Calibri" w:cs="Calibri"/>
                <w:color w:val="FFFFFF" w:themeColor="background1"/>
                <w:sz w:val="28"/>
              </w:rPr>
              <w:t xml:space="preserve"> against the Standards for Specialty Education.</w:t>
            </w:r>
          </w:p>
        </w:tc>
        <w:tc>
          <w:tcPr>
            <w:tcW w:w="2500" w:type="dxa"/>
          </w:tcPr>
          <w:p w14:paraId="527F3D67" w14:textId="1509F4C2" w:rsidR="00BA0A18" w:rsidRPr="00E54A44" w:rsidRDefault="006A3347" w:rsidP="00D6729D">
            <w:pPr>
              <w:contextualSpacing/>
              <w:rPr>
                <w:rFonts w:cstheme="minorHAnsi"/>
                <w:color w:val="1F3864" w:themeColor="accent1" w:themeShade="80"/>
                <w:sz w:val="28"/>
              </w:rPr>
            </w:pPr>
            <w:r>
              <w:rPr>
                <w:rFonts w:cstheme="minorHAnsi"/>
                <w:color w:val="1F3864" w:themeColor="accent1" w:themeShade="80"/>
                <w:sz w:val="28"/>
              </w:rPr>
              <w:t xml:space="preserve">GDC actions identified for the provider </w:t>
            </w:r>
          </w:p>
        </w:tc>
      </w:tr>
    </w:tbl>
    <w:p w14:paraId="610ED50B" w14:textId="77777777" w:rsidR="00D672A1" w:rsidRDefault="00D672A1" w:rsidP="00D6729D">
      <w:pPr>
        <w:spacing w:line="240" w:lineRule="auto"/>
        <w:contextualSpacing/>
        <w:rPr>
          <w:rFonts w:ascii="Calibri" w:hAnsi="Calibri" w:cs="Calibri"/>
          <w:color w:val="1F3864" w:themeColor="accent1" w:themeShade="80"/>
          <w:sz w:val="28"/>
        </w:rPr>
      </w:pPr>
    </w:p>
    <w:p w14:paraId="110FE7BB" w14:textId="77777777" w:rsidR="00D672A1" w:rsidRDefault="00D672A1" w:rsidP="00D6729D">
      <w:pPr>
        <w:spacing w:line="240" w:lineRule="auto"/>
        <w:contextualSpacing/>
        <w:rPr>
          <w:rFonts w:ascii="Calibri" w:hAnsi="Calibri" w:cs="Calibri"/>
          <w:color w:val="1F3864" w:themeColor="accent1" w:themeShade="80"/>
          <w:sz w:val="28"/>
        </w:rPr>
      </w:pPr>
      <w:r>
        <w:rPr>
          <w:rFonts w:ascii="Calibri" w:hAnsi="Calibri" w:cs="Calibri"/>
          <w:color w:val="1F3864" w:themeColor="accent1" w:themeShade="80"/>
          <w:sz w:val="28"/>
        </w:rPr>
        <w:br w:type="page"/>
      </w:r>
    </w:p>
    <w:p w14:paraId="2A39B785" w14:textId="77777777" w:rsidR="00BD4BB3" w:rsidRDefault="00F671FD" w:rsidP="00D6729D">
      <w:pPr>
        <w:spacing w:line="240" w:lineRule="auto"/>
        <w:contextualSpacing/>
        <w:rPr>
          <w:rFonts w:cs="Calibri"/>
          <w:b/>
          <w:color w:val="365F91"/>
          <w:sz w:val="28"/>
          <w:szCs w:val="28"/>
        </w:rPr>
      </w:pPr>
      <w:r>
        <w:rPr>
          <w:rFonts w:cs="Calibri"/>
          <w:b/>
          <w:color w:val="365F91"/>
          <w:sz w:val="28"/>
          <w:szCs w:val="28"/>
        </w:rPr>
        <w:lastRenderedPageBreak/>
        <w:t>*</w:t>
      </w:r>
      <w:r w:rsidR="00BD4BB3">
        <w:rPr>
          <w:rFonts w:cs="Calibri"/>
          <w:b/>
          <w:color w:val="365F91"/>
          <w:sz w:val="28"/>
          <w:szCs w:val="28"/>
        </w:rPr>
        <w:t>Full details of the process can be found in the annex</w:t>
      </w:r>
      <w:r>
        <w:rPr>
          <w:rFonts w:cs="Calibri"/>
          <w:b/>
          <w:color w:val="365F91"/>
          <w:sz w:val="28"/>
          <w:szCs w:val="28"/>
        </w:rPr>
        <w:t>*</w:t>
      </w:r>
    </w:p>
    <w:p w14:paraId="6EF8F110" w14:textId="77777777" w:rsidR="001E00FC" w:rsidRDefault="001E00FC" w:rsidP="00D6729D">
      <w:pPr>
        <w:spacing w:line="240" w:lineRule="auto"/>
        <w:contextualSpacing/>
        <w:rPr>
          <w:rFonts w:ascii="Arial" w:hAnsi="Arial" w:cs="Arial"/>
          <w:b/>
          <w:color w:val="244061"/>
          <w:sz w:val="28"/>
          <w:szCs w:val="28"/>
          <w:lang w:val="en-US" w:eastAsia="en-GB"/>
        </w:rPr>
      </w:pPr>
    </w:p>
    <w:p w14:paraId="034220D8" w14:textId="4F363E18" w:rsidR="00BD4BB3" w:rsidRDefault="00DC29EB" w:rsidP="00D6729D">
      <w:pPr>
        <w:spacing w:line="240" w:lineRule="auto"/>
        <w:contextualSpacing/>
        <w:rPr>
          <w:rFonts w:ascii="Arial" w:hAnsi="Arial" w:cs="Arial"/>
          <w:b/>
          <w:color w:val="244061"/>
          <w:sz w:val="28"/>
          <w:szCs w:val="28"/>
          <w:lang w:val="en-US" w:eastAsia="en-GB"/>
        </w:rPr>
      </w:pPr>
      <w:r>
        <w:rPr>
          <w:rFonts w:ascii="Arial" w:hAnsi="Arial" w:cs="Arial"/>
          <w:b/>
          <w:color w:val="244061"/>
          <w:sz w:val="28"/>
          <w:szCs w:val="28"/>
          <w:lang w:val="en-US" w:eastAsia="en-GB"/>
        </w:rPr>
        <w:t>Summary</w:t>
      </w:r>
    </w:p>
    <w:p w14:paraId="1AF2A270" w14:textId="77777777" w:rsidR="00204D49" w:rsidRPr="00204D49" w:rsidRDefault="00204D49" w:rsidP="00D6729D">
      <w:pPr>
        <w:spacing w:line="240" w:lineRule="auto"/>
        <w:contextualSpacing/>
        <w:rPr>
          <w:rFonts w:ascii="Arial" w:hAnsi="Arial" w:cs="Arial"/>
          <w:b/>
          <w:color w:val="244061"/>
          <w:sz w:val="28"/>
          <w:szCs w:val="28"/>
          <w:lang w:val="en-US" w:eastAsia="en-GB"/>
        </w:rPr>
      </w:pPr>
    </w:p>
    <w:tbl>
      <w:tblPr>
        <w:tblStyle w:val="TableGrid"/>
        <w:tblW w:w="9478" w:type="dxa"/>
        <w:tblLook w:val="04A0" w:firstRow="1" w:lastRow="0" w:firstColumn="1" w:lastColumn="0" w:noHBand="0" w:noVBand="1"/>
      </w:tblPr>
      <w:tblGrid>
        <w:gridCol w:w="4106"/>
        <w:gridCol w:w="5372"/>
      </w:tblGrid>
      <w:tr w:rsidR="008E4A71" w14:paraId="0FB2CA53" w14:textId="77777777" w:rsidTr="00F51D53">
        <w:tc>
          <w:tcPr>
            <w:tcW w:w="4106" w:type="dxa"/>
          </w:tcPr>
          <w:p w14:paraId="694E5D5B" w14:textId="77777777" w:rsidR="008E4A71" w:rsidRPr="00AD05AA" w:rsidRDefault="008E4A71" w:rsidP="00D6729D">
            <w:pPr>
              <w:contextualSpacing/>
              <w:rPr>
                <w:rFonts w:ascii="Arial" w:eastAsia="Times New Roman" w:hAnsi="Arial" w:cs="Arial"/>
                <w:b/>
                <w:smallCaps/>
                <w:lang w:val="en-US" w:eastAsia="en-GB"/>
              </w:rPr>
            </w:pPr>
            <w:r w:rsidRPr="00AD05AA">
              <w:rPr>
                <w:rFonts w:ascii="Arial" w:hAnsi="Arial" w:cs="Arial"/>
                <w:b/>
              </w:rPr>
              <w:t>Remit and purpose</w:t>
            </w:r>
            <w:r w:rsidRPr="00AD05AA">
              <w:rPr>
                <w:rFonts w:ascii="Arial" w:eastAsia="Times New Roman" w:hAnsi="Arial" w:cs="Arial"/>
                <w:b/>
                <w:smallCaps/>
                <w:lang w:val="en-US" w:eastAsia="en-GB"/>
              </w:rPr>
              <w:t>:</w:t>
            </w:r>
          </w:p>
          <w:p w14:paraId="7E606584" w14:textId="77777777" w:rsidR="008E4A71" w:rsidRPr="00AD05AA" w:rsidRDefault="008E4A71" w:rsidP="00D6729D">
            <w:pPr>
              <w:contextualSpacing/>
              <w:rPr>
                <w:rFonts w:ascii="Arial" w:eastAsia="Calibri" w:hAnsi="Arial" w:cs="Arial"/>
                <w:b/>
                <w:color w:val="2F5496" w:themeColor="accent1" w:themeShade="BF"/>
              </w:rPr>
            </w:pPr>
          </w:p>
        </w:tc>
        <w:tc>
          <w:tcPr>
            <w:tcW w:w="5372" w:type="dxa"/>
          </w:tcPr>
          <w:p w14:paraId="532363A6" w14:textId="2E2E221C" w:rsidR="008E4A71" w:rsidRPr="00AD05AA" w:rsidRDefault="008E070E" w:rsidP="00D804A2">
            <w:pPr>
              <w:contextualSpacing/>
              <w:rPr>
                <w:rFonts w:ascii="Arial" w:eastAsia="Calibri" w:hAnsi="Arial" w:cs="Arial"/>
              </w:rPr>
            </w:pPr>
            <w:r>
              <w:rPr>
                <w:rFonts w:ascii="Arial" w:eastAsia="Calibri" w:hAnsi="Arial" w:cs="Arial"/>
              </w:rPr>
              <w:t>To q</w:t>
            </w:r>
            <w:r w:rsidR="001D0063" w:rsidRPr="00AD05AA">
              <w:rPr>
                <w:rFonts w:ascii="Arial" w:eastAsia="Calibri" w:hAnsi="Arial" w:cs="Arial"/>
              </w:rPr>
              <w:t>uality assure the specialty training and education being delivered by</w:t>
            </w:r>
            <w:r w:rsidR="00AE22DC">
              <w:rPr>
                <w:rFonts w:ascii="Arial" w:eastAsia="Calibri" w:hAnsi="Arial" w:cs="Arial"/>
              </w:rPr>
              <w:t xml:space="preserve"> </w:t>
            </w:r>
            <w:r w:rsidR="00AE22DC">
              <w:rPr>
                <w:rFonts w:ascii="Arial" w:hAnsi="Arial" w:cs="Arial"/>
                <w:lang w:val="en-US"/>
              </w:rPr>
              <w:t>Health Education England South West</w:t>
            </w:r>
            <w:r w:rsidR="007562DC">
              <w:rPr>
                <w:rFonts w:ascii="Arial" w:hAnsi="Arial" w:cs="Arial"/>
                <w:lang w:val="en-US"/>
              </w:rPr>
              <w:t xml:space="preserve"> and Health Education England</w:t>
            </w:r>
            <w:r w:rsidR="00AE22DC">
              <w:rPr>
                <w:rFonts w:ascii="Arial" w:hAnsi="Arial" w:cs="Arial"/>
                <w:lang w:val="en-US"/>
              </w:rPr>
              <w:t xml:space="preserve"> Thames Valley and Wessex.</w:t>
            </w:r>
          </w:p>
        </w:tc>
      </w:tr>
      <w:tr w:rsidR="008E4A71" w14:paraId="38B77CE3" w14:textId="77777777" w:rsidTr="00F51D53">
        <w:tc>
          <w:tcPr>
            <w:tcW w:w="4106" w:type="dxa"/>
          </w:tcPr>
          <w:p w14:paraId="35EFEF30" w14:textId="45A9A1AE" w:rsidR="008E4A71" w:rsidRPr="00AD05AA" w:rsidRDefault="001D0063" w:rsidP="00D6729D">
            <w:pPr>
              <w:contextualSpacing/>
              <w:rPr>
                <w:rFonts w:ascii="Arial" w:eastAsia="Times New Roman" w:hAnsi="Arial" w:cs="Arial"/>
                <w:b/>
                <w:smallCaps/>
                <w:lang w:val="en-US" w:eastAsia="en-GB"/>
              </w:rPr>
            </w:pPr>
            <w:r w:rsidRPr="00AD05AA">
              <w:rPr>
                <w:rFonts w:ascii="Arial" w:hAnsi="Arial" w:cs="Arial"/>
                <w:b/>
              </w:rPr>
              <w:t xml:space="preserve">Standards for </w:t>
            </w:r>
            <w:r w:rsidR="008E070E">
              <w:rPr>
                <w:rFonts w:ascii="Arial" w:hAnsi="Arial" w:cs="Arial"/>
                <w:b/>
              </w:rPr>
              <w:t>S</w:t>
            </w:r>
            <w:r w:rsidRPr="00AD05AA">
              <w:rPr>
                <w:rFonts w:ascii="Arial" w:hAnsi="Arial" w:cs="Arial"/>
                <w:b/>
              </w:rPr>
              <w:t xml:space="preserve">pecialty </w:t>
            </w:r>
            <w:r w:rsidR="008E070E">
              <w:rPr>
                <w:rFonts w:ascii="Arial" w:hAnsi="Arial" w:cs="Arial"/>
                <w:b/>
              </w:rPr>
              <w:t>E</w:t>
            </w:r>
            <w:r w:rsidRPr="00AD05AA">
              <w:rPr>
                <w:rFonts w:ascii="Arial" w:hAnsi="Arial" w:cs="Arial"/>
                <w:b/>
              </w:rPr>
              <w:t>ducation</w:t>
            </w:r>
            <w:r w:rsidR="008E4A71" w:rsidRPr="00AD05AA">
              <w:rPr>
                <w:rFonts w:ascii="Arial" w:eastAsia="Times New Roman" w:hAnsi="Arial" w:cs="Arial"/>
                <w:b/>
                <w:smallCaps/>
                <w:lang w:val="en-US" w:eastAsia="en-GB"/>
              </w:rPr>
              <w:t>:</w:t>
            </w:r>
          </w:p>
        </w:tc>
        <w:tc>
          <w:tcPr>
            <w:tcW w:w="5372" w:type="dxa"/>
          </w:tcPr>
          <w:p w14:paraId="50B7DD74" w14:textId="77777777" w:rsidR="008E4A71" w:rsidRPr="00AD05AA" w:rsidRDefault="001D0063" w:rsidP="00D6729D">
            <w:pPr>
              <w:contextualSpacing/>
              <w:rPr>
                <w:rFonts w:ascii="Arial" w:hAnsi="Arial" w:cs="Arial"/>
                <w:lang w:val="en-US" w:eastAsia="en-GB"/>
              </w:rPr>
            </w:pPr>
            <w:r w:rsidRPr="00AD05AA">
              <w:rPr>
                <w:rFonts w:ascii="Arial" w:hAnsi="Arial" w:cs="Arial"/>
                <w:lang w:val="en-US" w:eastAsia="en-GB"/>
              </w:rPr>
              <w:t>All</w:t>
            </w:r>
          </w:p>
        </w:tc>
      </w:tr>
      <w:tr w:rsidR="008E4A71" w14:paraId="1DB0E0B6" w14:textId="77777777" w:rsidTr="00F51D53">
        <w:tc>
          <w:tcPr>
            <w:tcW w:w="4106" w:type="dxa"/>
          </w:tcPr>
          <w:p w14:paraId="73A998C1" w14:textId="5C805C8A" w:rsidR="008E4A71" w:rsidRPr="00AD05AA" w:rsidRDefault="00DC29EB" w:rsidP="00D6729D">
            <w:pPr>
              <w:contextualSpacing/>
              <w:rPr>
                <w:rFonts w:ascii="Arial" w:eastAsia="Times New Roman" w:hAnsi="Arial" w:cs="Arial"/>
                <w:b/>
                <w:smallCaps/>
                <w:lang w:val="en-US" w:eastAsia="en-GB"/>
              </w:rPr>
            </w:pPr>
            <w:r w:rsidRPr="00AD05AA">
              <w:rPr>
                <w:rFonts w:ascii="Arial" w:hAnsi="Arial" w:cs="Arial"/>
                <w:b/>
              </w:rPr>
              <w:t>Date</w:t>
            </w:r>
            <w:r w:rsidR="00643DEC">
              <w:rPr>
                <w:rFonts w:ascii="Arial" w:hAnsi="Arial" w:cs="Arial"/>
                <w:b/>
              </w:rPr>
              <w:t>(</w:t>
            </w:r>
            <w:r w:rsidR="0009369F">
              <w:rPr>
                <w:rFonts w:ascii="Arial" w:hAnsi="Arial" w:cs="Arial"/>
                <w:b/>
              </w:rPr>
              <w:t>s</w:t>
            </w:r>
            <w:r w:rsidR="00643DEC">
              <w:rPr>
                <w:rFonts w:ascii="Arial" w:hAnsi="Arial" w:cs="Arial"/>
                <w:b/>
              </w:rPr>
              <w:t>)</w:t>
            </w:r>
            <w:r w:rsidR="0009369F">
              <w:rPr>
                <w:rFonts w:ascii="Arial" w:hAnsi="Arial" w:cs="Arial"/>
                <w:b/>
              </w:rPr>
              <w:t xml:space="preserve"> of submission</w:t>
            </w:r>
            <w:r w:rsidR="00AA2CF8">
              <w:rPr>
                <w:rFonts w:ascii="Arial" w:eastAsia="Times New Roman" w:hAnsi="Arial" w:cs="Arial"/>
                <w:b/>
                <w:smallCaps/>
                <w:lang w:val="en-US" w:eastAsia="en-GB"/>
              </w:rPr>
              <w:t>:</w:t>
            </w:r>
            <w:r w:rsidR="008E4A71" w:rsidRPr="00AD05AA">
              <w:rPr>
                <w:rFonts w:ascii="Arial" w:eastAsia="Times New Roman" w:hAnsi="Arial" w:cs="Arial"/>
                <w:b/>
                <w:smallCaps/>
                <w:lang w:val="en-US" w:eastAsia="en-GB"/>
              </w:rPr>
              <w:t xml:space="preserve"> </w:t>
            </w:r>
          </w:p>
        </w:tc>
        <w:tc>
          <w:tcPr>
            <w:tcW w:w="5372" w:type="dxa"/>
          </w:tcPr>
          <w:p w14:paraId="4C5616AE" w14:textId="0242E38B" w:rsidR="008E4A71" w:rsidRPr="00AD7A4F" w:rsidRDefault="00AE22DC" w:rsidP="00D6729D">
            <w:pPr>
              <w:contextualSpacing/>
              <w:rPr>
                <w:rFonts w:ascii="Arial" w:hAnsi="Arial" w:cs="Arial"/>
                <w:bCs/>
                <w:lang w:val="en-US" w:eastAsia="en-GB"/>
              </w:rPr>
            </w:pPr>
            <w:r>
              <w:rPr>
                <w:rFonts w:ascii="Arial" w:hAnsi="Arial" w:cs="Arial"/>
                <w:bCs/>
                <w:lang w:val="en-US" w:eastAsia="en-GB"/>
              </w:rPr>
              <w:t>July 2021</w:t>
            </w:r>
          </w:p>
        </w:tc>
      </w:tr>
      <w:tr w:rsidR="008E4A71" w14:paraId="0DA1E17E" w14:textId="77777777" w:rsidTr="00F51D53">
        <w:tc>
          <w:tcPr>
            <w:tcW w:w="4106" w:type="dxa"/>
          </w:tcPr>
          <w:p w14:paraId="25A9753E" w14:textId="6C8F9B5D" w:rsidR="008E4A71" w:rsidRPr="00AA2CF8" w:rsidRDefault="00660025" w:rsidP="00D6729D">
            <w:pPr>
              <w:contextualSpacing/>
              <w:rPr>
                <w:rFonts w:ascii="Arial" w:hAnsi="Arial" w:cs="Arial"/>
                <w:b/>
              </w:rPr>
            </w:pPr>
            <w:r w:rsidRPr="00AA2CF8">
              <w:rPr>
                <w:rFonts w:ascii="Arial" w:hAnsi="Arial" w:cs="Arial"/>
                <w:b/>
              </w:rPr>
              <w:t>GDC Staff:</w:t>
            </w:r>
          </w:p>
          <w:p w14:paraId="5C48304D" w14:textId="5871DB01" w:rsidR="009F4C9A" w:rsidRPr="00924461" w:rsidRDefault="009F4C9A" w:rsidP="00D6729D">
            <w:pPr>
              <w:contextualSpacing/>
              <w:rPr>
                <w:rFonts w:ascii="Arial" w:hAnsi="Arial" w:cs="Arial"/>
                <w:lang w:val="en-US" w:eastAsia="en-GB"/>
              </w:rPr>
            </w:pPr>
          </w:p>
          <w:p w14:paraId="22EB97D2" w14:textId="432C20B1" w:rsidR="009F4C9A" w:rsidRPr="00924461" w:rsidRDefault="009F4C9A" w:rsidP="00D6729D">
            <w:pPr>
              <w:contextualSpacing/>
              <w:rPr>
                <w:rFonts w:ascii="Arial" w:hAnsi="Arial" w:cs="Arial"/>
                <w:lang w:val="en-US" w:eastAsia="en-GB"/>
              </w:rPr>
            </w:pPr>
          </w:p>
          <w:p w14:paraId="76CCDA61" w14:textId="77777777" w:rsidR="005F2CA0" w:rsidRDefault="005F2CA0" w:rsidP="00D6729D">
            <w:pPr>
              <w:contextualSpacing/>
              <w:rPr>
                <w:rFonts w:ascii="Arial" w:hAnsi="Arial" w:cs="Arial"/>
                <w:b/>
                <w:bCs/>
                <w:lang w:val="en-US" w:eastAsia="en-GB"/>
              </w:rPr>
            </w:pPr>
          </w:p>
          <w:p w14:paraId="71039E2B" w14:textId="5C941BA7" w:rsidR="008E4A71" w:rsidRPr="004D5CA2" w:rsidRDefault="007A517A" w:rsidP="00D6729D">
            <w:pPr>
              <w:contextualSpacing/>
              <w:rPr>
                <w:rFonts w:ascii="Arial" w:hAnsi="Arial" w:cs="Arial"/>
                <w:b/>
                <w:bCs/>
                <w:lang w:val="en-US" w:eastAsia="en-GB"/>
              </w:rPr>
            </w:pPr>
            <w:r>
              <w:rPr>
                <w:rFonts w:ascii="Arial" w:hAnsi="Arial" w:cs="Arial"/>
                <w:b/>
                <w:bCs/>
                <w:lang w:val="en-US" w:eastAsia="en-GB"/>
              </w:rPr>
              <w:t>E</w:t>
            </w:r>
            <w:r w:rsidR="009F4C9A" w:rsidRPr="00924461">
              <w:rPr>
                <w:rFonts w:ascii="Arial" w:hAnsi="Arial" w:cs="Arial"/>
                <w:b/>
                <w:bCs/>
                <w:lang w:val="en-US" w:eastAsia="en-GB"/>
              </w:rPr>
              <w:t>ducation associates</w:t>
            </w:r>
            <w:r w:rsidR="00924461">
              <w:rPr>
                <w:rFonts w:ascii="Arial" w:hAnsi="Arial" w:cs="Arial"/>
                <w:b/>
                <w:bCs/>
                <w:lang w:val="en-US" w:eastAsia="en-GB"/>
              </w:rPr>
              <w:t>:</w:t>
            </w:r>
          </w:p>
        </w:tc>
        <w:tc>
          <w:tcPr>
            <w:tcW w:w="5372" w:type="dxa"/>
          </w:tcPr>
          <w:p w14:paraId="19C2568B" w14:textId="77777777" w:rsidR="00660025" w:rsidRPr="00AD05AA" w:rsidRDefault="00660025" w:rsidP="00D6729D">
            <w:pPr>
              <w:contextualSpacing/>
              <w:rPr>
                <w:rFonts w:ascii="Arial" w:hAnsi="Arial" w:cs="Arial"/>
                <w:lang w:val="en-US" w:eastAsia="en-GB"/>
              </w:rPr>
            </w:pPr>
            <w:r w:rsidRPr="00AD05AA">
              <w:rPr>
                <w:rFonts w:ascii="Arial" w:hAnsi="Arial" w:cs="Arial"/>
                <w:lang w:val="en-US" w:eastAsia="en-GB"/>
              </w:rPr>
              <w:t>Natalie Watson</w:t>
            </w:r>
            <w:r w:rsidR="001D0063">
              <w:rPr>
                <w:rFonts w:ascii="Arial" w:hAnsi="Arial" w:cs="Arial"/>
                <w:lang w:val="en-US" w:eastAsia="en-GB"/>
              </w:rPr>
              <w:t xml:space="preserve"> (Education and Quality Assurance Officer)</w:t>
            </w:r>
          </w:p>
          <w:p w14:paraId="3E8A82CC" w14:textId="06AF420E" w:rsidR="008E4A71" w:rsidRDefault="00E57F44" w:rsidP="00D6729D">
            <w:pPr>
              <w:contextualSpacing/>
              <w:rPr>
                <w:rFonts w:ascii="Arial" w:hAnsi="Arial" w:cs="Arial"/>
                <w:lang w:val="en-US" w:eastAsia="en-GB"/>
              </w:rPr>
            </w:pPr>
            <w:r>
              <w:rPr>
                <w:rFonts w:ascii="Arial" w:hAnsi="Arial" w:cs="Arial"/>
                <w:lang w:val="en-US" w:eastAsia="en-GB"/>
              </w:rPr>
              <w:t>Amy Mullins-Downes (Quality Assurance Manager)</w:t>
            </w:r>
          </w:p>
          <w:p w14:paraId="38BFD298" w14:textId="77777777" w:rsidR="00D8280A" w:rsidRDefault="00D8280A" w:rsidP="00D6729D">
            <w:pPr>
              <w:contextualSpacing/>
              <w:rPr>
                <w:rFonts w:ascii="Arial" w:hAnsi="Arial" w:cs="Arial"/>
                <w:lang w:val="en-US" w:eastAsia="en-GB"/>
              </w:rPr>
            </w:pPr>
          </w:p>
          <w:p w14:paraId="093394B3" w14:textId="7C066C60" w:rsidR="00134A1F" w:rsidRDefault="00AE22DC" w:rsidP="00D6729D">
            <w:pPr>
              <w:contextualSpacing/>
              <w:rPr>
                <w:rFonts w:ascii="Arial" w:hAnsi="Arial" w:cs="Arial"/>
                <w:lang w:val="en-US" w:eastAsia="en-GB"/>
              </w:rPr>
            </w:pPr>
            <w:r>
              <w:rPr>
                <w:rFonts w:ascii="Arial" w:hAnsi="Arial" w:cs="Arial"/>
                <w:lang w:val="en-US" w:eastAsia="en-GB"/>
              </w:rPr>
              <w:t>Barbara Chadwick</w:t>
            </w:r>
          </w:p>
          <w:p w14:paraId="469F3E7F" w14:textId="4F83B8AB" w:rsidR="00AE22DC" w:rsidRDefault="00AE22DC" w:rsidP="00D6729D">
            <w:pPr>
              <w:contextualSpacing/>
              <w:rPr>
                <w:rFonts w:ascii="Arial" w:hAnsi="Arial" w:cs="Arial"/>
                <w:lang w:val="en-US" w:eastAsia="en-GB"/>
              </w:rPr>
            </w:pPr>
            <w:r>
              <w:rPr>
                <w:rFonts w:ascii="Arial" w:hAnsi="Arial" w:cs="Arial"/>
                <w:lang w:val="en-US" w:eastAsia="en-GB"/>
              </w:rPr>
              <w:t>Eileen Skinner</w:t>
            </w:r>
          </w:p>
          <w:p w14:paraId="4E32CAFB" w14:textId="3A7FB150" w:rsidR="00134A1F" w:rsidRPr="00AD7A4F" w:rsidRDefault="00EE0B95" w:rsidP="00D804A2">
            <w:pPr>
              <w:contextualSpacing/>
              <w:rPr>
                <w:rFonts w:ascii="Arial" w:hAnsi="Arial" w:cs="Arial"/>
                <w:lang w:val="en-US" w:eastAsia="en-GB"/>
              </w:rPr>
            </w:pPr>
            <w:r>
              <w:rPr>
                <w:rFonts w:ascii="Arial" w:hAnsi="Arial" w:cs="Arial"/>
                <w:lang w:val="en-US" w:eastAsia="en-GB"/>
              </w:rPr>
              <w:t>T</w:t>
            </w:r>
            <w:r w:rsidR="00791B03">
              <w:rPr>
                <w:rFonts w:ascii="Arial" w:hAnsi="Arial" w:cs="Arial"/>
                <w:lang w:val="en-US" w:eastAsia="en-GB"/>
              </w:rPr>
              <w:t>om Thayer</w:t>
            </w:r>
            <w:r w:rsidR="00B05D61">
              <w:rPr>
                <w:rFonts w:ascii="Arial" w:hAnsi="Arial" w:cs="Arial"/>
                <w:lang w:val="en-US" w:eastAsia="en-GB"/>
              </w:rPr>
              <w:t xml:space="preserve"> </w:t>
            </w:r>
          </w:p>
        </w:tc>
      </w:tr>
    </w:tbl>
    <w:p w14:paraId="16545E3E" w14:textId="77777777" w:rsidR="00E2148E" w:rsidRDefault="00E2148E" w:rsidP="00D6729D">
      <w:pPr>
        <w:spacing w:line="240" w:lineRule="auto"/>
        <w:contextualSpacing/>
        <w:rPr>
          <w:rFonts w:ascii="Arial" w:hAnsi="Arial" w:cs="Arial"/>
          <w:lang w:val="en-US"/>
        </w:rPr>
      </w:pPr>
    </w:p>
    <w:p w14:paraId="3DB01E3B" w14:textId="257004C8" w:rsidR="002D2768" w:rsidRDefault="002D2768" w:rsidP="00D6729D">
      <w:pPr>
        <w:spacing w:line="240" w:lineRule="auto"/>
        <w:contextualSpacing/>
        <w:rPr>
          <w:rFonts w:ascii="Arial" w:hAnsi="Arial" w:cs="Arial"/>
        </w:rPr>
      </w:pPr>
      <w:r w:rsidRPr="00A062C8">
        <w:rPr>
          <w:rFonts w:ascii="Arial" w:hAnsi="Arial" w:cs="Arial"/>
          <w:lang w:val="en-US"/>
        </w:rPr>
        <w:t>This report sets out the GDC</w:t>
      </w:r>
      <w:r w:rsidR="00766021">
        <w:rPr>
          <w:rFonts w:ascii="Arial" w:hAnsi="Arial" w:cs="Arial"/>
          <w:lang w:val="en-US"/>
        </w:rPr>
        <w:t>’s</w:t>
      </w:r>
      <w:r w:rsidRPr="00A062C8">
        <w:rPr>
          <w:rFonts w:ascii="Arial" w:hAnsi="Arial" w:cs="Arial"/>
          <w:lang w:val="en-US"/>
        </w:rPr>
        <w:t xml:space="preserve"> analysis of the self-assessment and evidence submission by </w:t>
      </w:r>
      <w:r w:rsidR="00AE22DC">
        <w:rPr>
          <w:rFonts w:ascii="Arial" w:hAnsi="Arial" w:cs="Arial"/>
          <w:lang w:val="en-US"/>
        </w:rPr>
        <w:t xml:space="preserve">Health Education England </w:t>
      </w:r>
      <w:r w:rsidR="00405323">
        <w:rPr>
          <w:rFonts w:ascii="Arial" w:hAnsi="Arial" w:cs="Arial"/>
          <w:lang w:val="en-US"/>
        </w:rPr>
        <w:t>South</w:t>
      </w:r>
      <w:r w:rsidR="007562DC">
        <w:rPr>
          <w:rFonts w:ascii="Arial" w:hAnsi="Arial" w:cs="Arial"/>
          <w:lang w:val="en-US"/>
        </w:rPr>
        <w:t xml:space="preserve"> W</w:t>
      </w:r>
      <w:r w:rsidR="00405323">
        <w:rPr>
          <w:rFonts w:ascii="Arial" w:hAnsi="Arial" w:cs="Arial"/>
          <w:lang w:val="en-US"/>
        </w:rPr>
        <w:t>est</w:t>
      </w:r>
      <w:r w:rsidR="00AE22DC">
        <w:rPr>
          <w:rFonts w:ascii="Arial" w:hAnsi="Arial" w:cs="Arial"/>
          <w:lang w:val="en-US"/>
        </w:rPr>
        <w:t xml:space="preserve">, Thames Valley and Wessex </w:t>
      </w:r>
      <w:r w:rsidRPr="00A062C8">
        <w:rPr>
          <w:rFonts w:ascii="Arial" w:hAnsi="Arial" w:cs="Arial"/>
        </w:rPr>
        <w:t>(</w:t>
      </w:r>
      <w:r w:rsidR="00394BA7" w:rsidRPr="00A062C8">
        <w:rPr>
          <w:rFonts w:ascii="Arial" w:hAnsi="Arial" w:cs="Arial"/>
        </w:rPr>
        <w:t xml:space="preserve">hereafter referred to as </w:t>
      </w:r>
      <w:r w:rsidRPr="00A062C8">
        <w:rPr>
          <w:rFonts w:ascii="Arial" w:hAnsi="Arial" w:cs="Arial"/>
        </w:rPr>
        <w:t>“</w:t>
      </w:r>
      <w:r w:rsidR="00AE22DC">
        <w:rPr>
          <w:rFonts w:ascii="Arial" w:hAnsi="Arial" w:cs="Arial"/>
        </w:rPr>
        <w:t>HEE SW TVW</w:t>
      </w:r>
      <w:r w:rsidRPr="00A062C8">
        <w:rPr>
          <w:rFonts w:ascii="Arial" w:hAnsi="Arial" w:cs="Arial"/>
        </w:rPr>
        <w:t>”</w:t>
      </w:r>
      <w:r w:rsidR="00AE22DC">
        <w:rPr>
          <w:rFonts w:ascii="Arial" w:hAnsi="Arial" w:cs="Arial"/>
        </w:rPr>
        <w:t xml:space="preserve"> and</w:t>
      </w:r>
      <w:r w:rsidR="008E513C">
        <w:rPr>
          <w:rFonts w:ascii="Arial" w:hAnsi="Arial" w:cs="Arial"/>
        </w:rPr>
        <w:t xml:space="preserve"> “commissioners”</w:t>
      </w:r>
      <w:r w:rsidRPr="00A062C8">
        <w:rPr>
          <w:rFonts w:ascii="Arial" w:hAnsi="Arial" w:cs="Arial"/>
        </w:rPr>
        <w:t>)</w:t>
      </w:r>
      <w:r w:rsidRPr="00A062C8">
        <w:rPr>
          <w:rFonts w:ascii="Arial" w:hAnsi="Arial" w:cs="Arial"/>
          <w:b/>
        </w:rPr>
        <w:t xml:space="preserve"> </w:t>
      </w:r>
      <w:r w:rsidRPr="00A062C8">
        <w:rPr>
          <w:rFonts w:ascii="Arial" w:hAnsi="Arial" w:cs="Arial"/>
        </w:rPr>
        <w:t xml:space="preserve">against the </w:t>
      </w:r>
      <w:r w:rsidRPr="00A062C8">
        <w:rPr>
          <w:rFonts w:ascii="Arial" w:hAnsi="Arial" w:cs="Arial"/>
          <w:i/>
        </w:rPr>
        <w:t>Standards for Specialty Education</w:t>
      </w:r>
      <w:r w:rsidR="00A77386">
        <w:rPr>
          <w:rFonts w:ascii="Arial" w:hAnsi="Arial" w:cs="Arial"/>
          <w:i/>
        </w:rPr>
        <w:t xml:space="preserve"> </w:t>
      </w:r>
      <w:r w:rsidR="00A77386" w:rsidRPr="00A062C8">
        <w:rPr>
          <w:rFonts w:ascii="Arial" w:hAnsi="Arial" w:cs="Arial"/>
          <w:iCs/>
        </w:rPr>
        <w:t>(“the Standards”)</w:t>
      </w:r>
      <w:r w:rsidRPr="00A062C8">
        <w:rPr>
          <w:rFonts w:ascii="Arial" w:hAnsi="Arial" w:cs="Arial"/>
        </w:rPr>
        <w:t>.</w:t>
      </w:r>
      <w:r w:rsidR="00952CA5">
        <w:rPr>
          <w:rFonts w:ascii="Arial" w:hAnsi="Arial" w:cs="Arial"/>
        </w:rPr>
        <w:t xml:space="preserve"> </w:t>
      </w:r>
    </w:p>
    <w:p w14:paraId="60BFDD46" w14:textId="77777777" w:rsidR="001E00FC" w:rsidRPr="00A062C8" w:rsidRDefault="001E00FC" w:rsidP="00D6729D">
      <w:pPr>
        <w:spacing w:line="240" w:lineRule="auto"/>
        <w:contextualSpacing/>
        <w:rPr>
          <w:rFonts w:ascii="Arial" w:hAnsi="Arial" w:cs="Arial"/>
          <w:lang w:val="en-US"/>
        </w:rPr>
      </w:pPr>
    </w:p>
    <w:p w14:paraId="28848FA2" w14:textId="6089F8EC" w:rsidR="002D2768" w:rsidRDefault="002D2768" w:rsidP="00D6729D">
      <w:pPr>
        <w:spacing w:line="240" w:lineRule="auto"/>
        <w:contextualSpacing/>
        <w:rPr>
          <w:rFonts w:ascii="Arial" w:hAnsi="Arial" w:cs="Arial"/>
          <w:lang w:val="en-US"/>
        </w:rPr>
      </w:pPr>
      <w:r>
        <w:rPr>
          <w:rFonts w:ascii="Arial" w:hAnsi="Arial" w:cs="Arial"/>
          <w:lang w:val="en-US"/>
        </w:rPr>
        <w:t>Th</w:t>
      </w:r>
      <w:r w:rsidR="00276CF6">
        <w:rPr>
          <w:rFonts w:ascii="Arial" w:hAnsi="Arial" w:cs="Arial"/>
          <w:lang w:val="en-US"/>
        </w:rPr>
        <w:t xml:space="preserve">is report should be read in the </w:t>
      </w:r>
      <w:r>
        <w:rPr>
          <w:rFonts w:ascii="Arial" w:hAnsi="Arial" w:cs="Arial"/>
          <w:lang w:val="en-US"/>
        </w:rPr>
        <w:t xml:space="preserve">context of </w:t>
      </w:r>
      <w:r w:rsidR="00276CF6">
        <w:rPr>
          <w:rFonts w:ascii="Arial" w:hAnsi="Arial" w:cs="Arial"/>
          <w:lang w:val="en-US"/>
        </w:rPr>
        <w:t xml:space="preserve">the GDC’s </w:t>
      </w:r>
      <w:r>
        <w:rPr>
          <w:rFonts w:ascii="Arial" w:hAnsi="Arial" w:cs="Arial"/>
          <w:lang w:val="en-US"/>
        </w:rPr>
        <w:t xml:space="preserve">policy </w:t>
      </w:r>
      <w:r w:rsidR="004F6E77">
        <w:rPr>
          <w:rFonts w:ascii="Arial" w:hAnsi="Arial" w:cs="Arial"/>
          <w:lang w:val="en-US"/>
        </w:rPr>
        <w:t xml:space="preserve">to develop the </w:t>
      </w:r>
      <w:r>
        <w:rPr>
          <w:rFonts w:ascii="Arial" w:hAnsi="Arial" w:cs="Arial"/>
          <w:lang w:val="en-US"/>
        </w:rPr>
        <w:t>quality assurance of specialty training</w:t>
      </w:r>
      <w:r w:rsidR="00152A4E">
        <w:rPr>
          <w:rFonts w:ascii="Arial" w:hAnsi="Arial" w:cs="Arial"/>
          <w:lang w:val="en-US"/>
        </w:rPr>
        <w:t xml:space="preserve">. </w:t>
      </w:r>
    </w:p>
    <w:p w14:paraId="5EB8B185" w14:textId="77777777" w:rsidR="001E00FC" w:rsidRDefault="001E00FC" w:rsidP="00D6729D">
      <w:pPr>
        <w:spacing w:line="240" w:lineRule="auto"/>
        <w:contextualSpacing/>
        <w:rPr>
          <w:rFonts w:ascii="Arial" w:hAnsi="Arial" w:cs="Arial"/>
          <w:lang w:val="en-US"/>
        </w:rPr>
      </w:pPr>
    </w:p>
    <w:p w14:paraId="0086F74C" w14:textId="4FDCB2EC" w:rsidR="002D2768" w:rsidRDefault="002D2768" w:rsidP="00D6729D">
      <w:pPr>
        <w:spacing w:line="240" w:lineRule="auto"/>
        <w:contextualSpacing/>
        <w:rPr>
          <w:rFonts w:ascii="Arial" w:hAnsi="Arial" w:cs="Arial"/>
          <w:lang w:val="en-US"/>
        </w:rPr>
      </w:pPr>
      <w:r>
        <w:rPr>
          <w:rFonts w:ascii="Arial" w:hAnsi="Arial" w:cs="Arial"/>
          <w:lang w:val="en-US"/>
        </w:rPr>
        <w:t xml:space="preserve">Of the </w:t>
      </w:r>
      <w:r w:rsidR="001A1325">
        <w:rPr>
          <w:rFonts w:ascii="Arial" w:hAnsi="Arial" w:cs="Arial"/>
          <w:lang w:val="en-US"/>
        </w:rPr>
        <w:t xml:space="preserve">20 </w:t>
      </w:r>
      <w:r w:rsidR="00A77386">
        <w:rPr>
          <w:rFonts w:ascii="Arial" w:hAnsi="Arial" w:cs="Arial"/>
          <w:lang w:val="en-US"/>
        </w:rPr>
        <w:t>R</w:t>
      </w:r>
      <w:r>
        <w:rPr>
          <w:rFonts w:ascii="Arial" w:hAnsi="Arial" w:cs="Arial"/>
          <w:lang w:val="en-US"/>
        </w:rPr>
        <w:t xml:space="preserve">equirements under the </w:t>
      </w:r>
      <w:r w:rsidR="00A77386">
        <w:rPr>
          <w:rFonts w:ascii="Arial" w:hAnsi="Arial" w:cs="Arial"/>
          <w:lang w:val="en-US"/>
        </w:rPr>
        <w:t>S</w:t>
      </w:r>
      <w:r>
        <w:rPr>
          <w:rFonts w:ascii="Arial" w:hAnsi="Arial" w:cs="Arial"/>
          <w:lang w:val="en-US"/>
        </w:rPr>
        <w:t xml:space="preserve">tandards, the GDC considers that the submission from the </w:t>
      </w:r>
      <w:r w:rsidR="00AE22DC">
        <w:rPr>
          <w:rFonts w:ascii="Arial" w:hAnsi="Arial" w:cs="Arial"/>
          <w:lang w:val="en-US"/>
        </w:rPr>
        <w:t>HEE SW TVW</w:t>
      </w:r>
      <w:r w:rsidR="00AE0E7F">
        <w:rPr>
          <w:rFonts w:ascii="Arial" w:hAnsi="Arial" w:cs="Arial"/>
          <w:lang w:val="en-US"/>
        </w:rPr>
        <w:t xml:space="preserve"> </w:t>
      </w:r>
      <w:r w:rsidR="00E9683C">
        <w:rPr>
          <w:rFonts w:ascii="Arial" w:hAnsi="Arial" w:cs="Arial"/>
          <w:lang w:val="en-US"/>
        </w:rPr>
        <w:t>team</w:t>
      </w:r>
      <w:r>
        <w:rPr>
          <w:rFonts w:ascii="Arial" w:hAnsi="Arial" w:cs="Arial"/>
          <w:lang w:val="en-US"/>
        </w:rPr>
        <w:t xml:space="preserve"> demonstrates:</w:t>
      </w:r>
    </w:p>
    <w:p w14:paraId="1C0AF4D4" w14:textId="77777777" w:rsidR="001E00FC" w:rsidRDefault="001E00FC" w:rsidP="00D6729D">
      <w:pPr>
        <w:spacing w:line="240" w:lineRule="auto"/>
        <w:contextualSpacing/>
        <w:rPr>
          <w:rFonts w:ascii="Arial" w:hAnsi="Arial" w:cs="Arial"/>
          <w:lang w:val="en-US"/>
        </w:rPr>
      </w:pPr>
    </w:p>
    <w:tbl>
      <w:tblPr>
        <w:tblStyle w:val="TableGrid"/>
        <w:tblW w:w="9498" w:type="dxa"/>
        <w:tblInd w:w="-5" w:type="dxa"/>
        <w:tblLook w:val="04A0" w:firstRow="1" w:lastRow="0" w:firstColumn="1" w:lastColumn="0" w:noHBand="0" w:noVBand="1"/>
      </w:tblPr>
      <w:tblGrid>
        <w:gridCol w:w="3010"/>
        <w:gridCol w:w="1810"/>
        <w:gridCol w:w="4678"/>
      </w:tblGrid>
      <w:tr w:rsidR="002D2768" w14:paraId="7FC08C90" w14:textId="77777777" w:rsidTr="006E1E3A">
        <w:tc>
          <w:tcPr>
            <w:tcW w:w="3010" w:type="dxa"/>
          </w:tcPr>
          <w:p w14:paraId="54C9CFFC" w14:textId="77777777" w:rsidR="002D2768" w:rsidRDefault="002D2768" w:rsidP="00D6729D">
            <w:pPr>
              <w:contextualSpacing/>
              <w:rPr>
                <w:rFonts w:ascii="Arial" w:hAnsi="Arial" w:cs="Arial"/>
                <w:lang w:val="en-US"/>
              </w:rPr>
            </w:pPr>
          </w:p>
        </w:tc>
        <w:tc>
          <w:tcPr>
            <w:tcW w:w="1810" w:type="dxa"/>
          </w:tcPr>
          <w:p w14:paraId="5D3CEB49" w14:textId="2931C0A7" w:rsidR="002D2768" w:rsidRPr="00844BD1" w:rsidRDefault="002D2768" w:rsidP="00D6729D">
            <w:pPr>
              <w:contextualSpacing/>
              <w:rPr>
                <w:rFonts w:ascii="Arial" w:hAnsi="Arial" w:cs="Arial"/>
                <w:b/>
                <w:lang w:val="en-US"/>
              </w:rPr>
            </w:pPr>
            <w:r w:rsidRPr="00844BD1">
              <w:rPr>
                <w:rFonts w:ascii="Arial" w:hAnsi="Arial" w:cs="Arial"/>
                <w:b/>
                <w:lang w:val="en-US"/>
              </w:rPr>
              <w:t xml:space="preserve">No of </w:t>
            </w:r>
            <w:r w:rsidR="004F6E77">
              <w:rPr>
                <w:rFonts w:ascii="Arial" w:hAnsi="Arial" w:cs="Arial"/>
                <w:b/>
                <w:lang w:val="en-US"/>
              </w:rPr>
              <w:t>R</w:t>
            </w:r>
            <w:r w:rsidRPr="00844BD1">
              <w:rPr>
                <w:rFonts w:ascii="Arial" w:hAnsi="Arial" w:cs="Arial"/>
                <w:b/>
                <w:lang w:val="en-US"/>
              </w:rPr>
              <w:t>equirements</w:t>
            </w:r>
          </w:p>
        </w:tc>
        <w:tc>
          <w:tcPr>
            <w:tcW w:w="4678" w:type="dxa"/>
          </w:tcPr>
          <w:p w14:paraId="051B34AD" w14:textId="77777777" w:rsidR="002D2768" w:rsidRPr="00844BD1" w:rsidRDefault="002D2768" w:rsidP="00D6729D">
            <w:pPr>
              <w:contextualSpacing/>
              <w:rPr>
                <w:rFonts w:ascii="Arial" w:hAnsi="Arial" w:cs="Arial"/>
                <w:b/>
                <w:lang w:val="en-US"/>
              </w:rPr>
            </w:pPr>
            <w:r w:rsidRPr="00844BD1">
              <w:rPr>
                <w:rFonts w:ascii="Arial" w:hAnsi="Arial" w:cs="Arial"/>
                <w:b/>
                <w:lang w:val="en-US"/>
              </w:rPr>
              <w:t>Requirements</w:t>
            </w:r>
          </w:p>
        </w:tc>
      </w:tr>
      <w:tr w:rsidR="002D2768" w14:paraId="36BA460D" w14:textId="77777777" w:rsidTr="006E1E3A">
        <w:tc>
          <w:tcPr>
            <w:tcW w:w="3010" w:type="dxa"/>
          </w:tcPr>
          <w:p w14:paraId="18DD679A" w14:textId="77777777" w:rsidR="002D2768" w:rsidRPr="00844BD1" w:rsidRDefault="002D2768" w:rsidP="00D6729D">
            <w:pPr>
              <w:contextualSpacing/>
              <w:rPr>
                <w:rFonts w:ascii="Arial" w:hAnsi="Arial" w:cs="Arial"/>
                <w:b/>
                <w:lang w:val="en-US"/>
              </w:rPr>
            </w:pPr>
            <w:r w:rsidRPr="00844BD1">
              <w:rPr>
                <w:rFonts w:ascii="Arial" w:hAnsi="Arial" w:cs="Arial"/>
                <w:b/>
                <w:lang w:val="en-US"/>
              </w:rPr>
              <w:t xml:space="preserve">Met </w:t>
            </w:r>
          </w:p>
        </w:tc>
        <w:tc>
          <w:tcPr>
            <w:tcW w:w="1810" w:type="dxa"/>
          </w:tcPr>
          <w:p w14:paraId="00DC3905" w14:textId="4C2D616D" w:rsidR="002D2768" w:rsidRDefault="00F46B79" w:rsidP="00D6729D">
            <w:pPr>
              <w:contextualSpacing/>
              <w:rPr>
                <w:rFonts w:ascii="Arial" w:hAnsi="Arial" w:cs="Arial"/>
                <w:lang w:val="en-US"/>
              </w:rPr>
            </w:pPr>
            <w:r>
              <w:rPr>
                <w:rFonts w:ascii="Arial" w:hAnsi="Arial" w:cs="Arial"/>
                <w:lang w:val="en-US"/>
              </w:rPr>
              <w:t>17</w:t>
            </w:r>
          </w:p>
        </w:tc>
        <w:tc>
          <w:tcPr>
            <w:tcW w:w="4678" w:type="dxa"/>
          </w:tcPr>
          <w:p w14:paraId="1B841F87" w14:textId="14A2B9C4" w:rsidR="002D2768" w:rsidRDefault="00A22C30" w:rsidP="00D6729D">
            <w:pPr>
              <w:contextualSpacing/>
              <w:rPr>
                <w:rFonts w:ascii="Arial" w:hAnsi="Arial" w:cs="Arial"/>
                <w:lang w:val="en-US"/>
              </w:rPr>
            </w:pPr>
            <w:r>
              <w:rPr>
                <w:rFonts w:ascii="Arial" w:hAnsi="Arial" w:cs="Arial"/>
                <w:lang w:val="en-US"/>
              </w:rPr>
              <w:t>P</w:t>
            </w:r>
            <w:r w:rsidR="00B05D61">
              <w:rPr>
                <w:rFonts w:ascii="Arial" w:hAnsi="Arial" w:cs="Arial"/>
                <w:lang w:val="en-US"/>
              </w:rPr>
              <w:t>1, P3, P</w:t>
            </w:r>
            <w:r w:rsidR="00AE22DC">
              <w:rPr>
                <w:rFonts w:ascii="Arial" w:hAnsi="Arial" w:cs="Arial"/>
                <w:lang w:val="en-US"/>
              </w:rPr>
              <w:t>4, P6,</w:t>
            </w:r>
            <w:r w:rsidR="00B05D61">
              <w:rPr>
                <w:rFonts w:ascii="Arial" w:hAnsi="Arial" w:cs="Arial"/>
                <w:lang w:val="en-US"/>
              </w:rPr>
              <w:t xml:space="preserve"> </w:t>
            </w:r>
            <w:r w:rsidR="00861015">
              <w:rPr>
                <w:rFonts w:ascii="Arial" w:hAnsi="Arial" w:cs="Arial"/>
                <w:lang w:val="en-US"/>
              </w:rPr>
              <w:t>P</w:t>
            </w:r>
            <w:r w:rsidR="006D7E86">
              <w:rPr>
                <w:rFonts w:ascii="Arial" w:hAnsi="Arial" w:cs="Arial"/>
                <w:lang w:val="en-US"/>
              </w:rPr>
              <w:t>7,</w:t>
            </w:r>
            <w:r w:rsidR="003C1BC3">
              <w:rPr>
                <w:rFonts w:ascii="Arial" w:hAnsi="Arial" w:cs="Arial"/>
                <w:lang w:val="en-US"/>
              </w:rPr>
              <w:t xml:space="preserve"> </w:t>
            </w:r>
            <w:r w:rsidR="001221E6">
              <w:rPr>
                <w:rFonts w:ascii="Arial" w:hAnsi="Arial" w:cs="Arial"/>
                <w:lang w:val="en-US"/>
              </w:rPr>
              <w:t>P8,</w:t>
            </w:r>
            <w:r w:rsidR="006D7E86">
              <w:rPr>
                <w:rFonts w:ascii="Arial" w:hAnsi="Arial" w:cs="Arial"/>
                <w:lang w:val="en-US"/>
              </w:rPr>
              <w:t xml:space="preserve"> P</w:t>
            </w:r>
            <w:r w:rsidR="00AE22DC">
              <w:rPr>
                <w:rFonts w:ascii="Arial" w:hAnsi="Arial" w:cs="Arial"/>
                <w:lang w:val="en-US"/>
              </w:rPr>
              <w:t xml:space="preserve">9, P10, P11, </w:t>
            </w:r>
            <w:r w:rsidR="007570C9">
              <w:rPr>
                <w:rFonts w:ascii="Arial" w:hAnsi="Arial" w:cs="Arial"/>
                <w:lang w:val="en-US"/>
              </w:rPr>
              <w:t xml:space="preserve">P12, </w:t>
            </w:r>
            <w:r w:rsidR="00AE22DC">
              <w:rPr>
                <w:rFonts w:ascii="Arial" w:hAnsi="Arial" w:cs="Arial"/>
                <w:lang w:val="en-US"/>
              </w:rPr>
              <w:t>P13,</w:t>
            </w:r>
            <w:r w:rsidR="00371D6E">
              <w:rPr>
                <w:rFonts w:ascii="Arial" w:hAnsi="Arial" w:cs="Arial"/>
                <w:lang w:val="en-US"/>
              </w:rPr>
              <w:t xml:space="preserve"> P14,</w:t>
            </w:r>
            <w:r w:rsidR="00AE22DC">
              <w:rPr>
                <w:rFonts w:ascii="Arial" w:hAnsi="Arial" w:cs="Arial"/>
                <w:lang w:val="en-US"/>
              </w:rPr>
              <w:t xml:space="preserve"> P15, P16,</w:t>
            </w:r>
            <w:r w:rsidR="00B05D61">
              <w:rPr>
                <w:rFonts w:ascii="Arial" w:hAnsi="Arial" w:cs="Arial"/>
                <w:lang w:val="en-US"/>
              </w:rPr>
              <w:t xml:space="preserve"> </w:t>
            </w:r>
            <w:r w:rsidR="00FA4109">
              <w:rPr>
                <w:rFonts w:ascii="Arial" w:hAnsi="Arial" w:cs="Arial"/>
                <w:lang w:val="en-US"/>
              </w:rPr>
              <w:t>P17,</w:t>
            </w:r>
            <w:r w:rsidR="00AE22DC">
              <w:rPr>
                <w:rFonts w:ascii="Arial" w:hAnsi="Arial" w:cs="Arial"/>
                <w:lang w:val="en-US"/>
              </w:rPr>
              <w:t xml:space="preserve"> P19</w:t>
            </w:r>
            <w:r w:rsidR="00F46B79">
              <w:rPr>
                <w:rFonts w:ascii="Arial" w:hAnsi="Arial" w:cs="Arial"/>
                <w:lang w:val="en-US"/>
              </w:rPr>
              <w:t xml:space="preserve"> and</w:t>
            </w:r>
            <w:r w:rsidR="00AB37F0">
              <w:rPr>
                <w:rFonts w:ascii="Arial" w:hAnsi="Arial" w:cs="Arial"/>
                <w:lang w:val="en-US"/>
              </w:rPr>
              <w:t xml:space="preserve"> P20</w:t>
            </w:r>
          </w:p>
        </w:tc>
      </w:tr>
      <w:tr w:rsidR="002D2768" w14:paraId="3EA8A490" w14:textId="77777777" w:rsidTr="006E1E3A">
        <w:tc>
          <w:tcPr>
            <w:tcW w:w="3010" w:type="dxa"/>
          </w:tcPr>
          <w:p w14:paraId="231E350E" w14:textId="77777777" w:rsidR="002D2768" w:rsidRPr="00844BD1" w:rsidRDefault="002D2768" w:rsidP="00D6729D">
            <w:pPr>
              <w:contextualSpacing/>
              <w:rPr>
                <w:rFonts w:ascii="Arial" w:hAnsi="Arial" w:cs="Arial"/>
                <w:b/>
                <w:lang w:val="en-US"/>
              </w:rPr>
            </w:pPr>
            <w:r w:rsidRPr="00844BD1">
              <w:rPr>
                <w:rFonts w:ascii="Arial" w:hAnsi="Arial" w:cs="Arial"/>
                <w:b/>
                <w:lang w:val="en-US"/>
              </w:rPr>
              <w:t>Partly met</w:t>
            </w:r>
          </w:p>
        </w:tc>
        <w:tc>
          <w:tcPr>
            <w:tcW w:w="1810" w:type="dxa"/>
          </w:tcPr>
          <w:p w14:paraId="58E63173" w14:textId="6E7BC720" w:rsidR="002D2768" w:rsidRDefault="007C08FA" w:rsidP="00D6729D">
            <w:pPr>
              <w:contextualSpacing/>
              <w:rPr>
                <w:rFonts w:ascii="Arial" w:hAnsi="Arial" w:cs="Arial"/>
                <w:lang w:val="en-US"/>
              </w:rPr>
            </w:pPr>
            <w:r>
              <w:rPr>
                <w:rFonts w:ascii="Arial" w:hAnsi="Arial" w:cs="Arial"/>
                <w:lang w:val="en-US"/>
              </w:rPr>
              <w:t>3</w:t>
            </w:r>
          </w:p>
        </w:tc>
        <w:tc>
          <w:tcPr>
            <w:tcW w:w="4678" w:type="dxa"/>
          </w:tcPr>
          <w:p w14:paraId="1204010A" w14:textId="214A5D40" w:rsidR="002D2768" w:rsidRDefault="00A22C30" w:rsidP="00D6729D">
            <w:pPr>
              <w:contextualSpacing/>
              <w:rPr>
                <w:rFonts w:ascii="Arial" w:hAnsi="Arial" w:cs="Arial"/>
                <w:lang w:val="en-US"/>
              </w:rPr>
            </w:pPr>
            <w:r>
              <w:rPr>
                <w:rFonts w:ascii="Arial" w:hAnsi="Arial" w:cs="Arial"/>
                <w:lang w:val="en-US"/>
              </w:rPr>
              <w:t>P</w:t>
            </w:r>
            <w:r w:rsidR="006D7E86">
              <w:rPr>
                <w:rFonts w:ascii="Arial" w:hAnsi="Arial" w:cs="Arial"/>
                <w:lang w:val="en-US"/>
              </w:rPr>
              <w:t>2, P</w:t>
            </w:r>
            <w:r w:rsidR="00D83405">
              <w:rPr>
                <w:rFonts w:ascii="Arial" w:hAnsi="Arial" w:cs="Arial"/>
                <w:lang w:val="en-US"/>
              </w:rPr>
              <w:t>5</w:t>
            </w:r>
            <w:r w:rsidR="00A0370C">
              <w:rPr>
                <w:rFonts w:ascii="Arial" w:hAnsi="Arial" w:cs="Arial"/>
                <w:lang w:val="en-US"/>
              </w:rPr>
              <w:t xml:space="preserve"> and</w:t>
            </w:r>
            <w:r w:rsidR="0019199D">
              <w:rPr>
                <w:rFonts w:ascii="Arial" w:hAnsi="Arial" w:cs="Arial"/>
                <w:lang w:val="en-US"/>
              </w:rPr>
              <w:t xml:space="preserve"> </w:t>
            </w:r>
            <w:r w:rsidR="00C0767D">
              <w:rPr>
                <w:rFonts w:ascii="Arial" w:hAnsi="Arial" w:cs="Arial"/>
                <w:lang w:val="en-US"/>
              </w:rPr>
              <w:t xml:space="preserve"> </w:t>
            </w:r>
            <w:r w:rsidR="00E66AEA">
              <w:rPr>
                <w:rFonts w:ascii="Arial" w:hAnsi="Arial" w:cs="Arial"/>
                <w:lang w:val="en-US"/>
              </w:rPr>
              <w:t>P18</w:t>
            </w:r>
          </w:p>
        </w:tc>
      </w:tr>
      <w:tr w:rsidR="007E1876" w14:paraId="2D14FE92" w14:textId="77777777" w:rsidTr="006E1E3A">
        <w:tc>
          <w:tcPr>
            <w:tcW w:w="3010" w:type="dxa"/>
          </w:tcPr>
          <w:p w14:paraId="29134627" w14:textId="64E27255" w:rsidR="007E1876" w:rsidRPr="00844BD1" w:rsidRDefault="00A77386" w:rsidP="00D6729D">
            <w:pPr>
              <w:contextualSpacing/>
              <w:rPr>
                <w:rFonts w:ascii="Arial" w:hAnsi="Arial" w:cs="Arial"/>
                <w:b/>
                <w:lang w:val="en-US"/>
              </w:rPr>
            </w:pPr>
            <w:r>
              <w:rPr>
                <w:rFonts w:ascii="Arial" w:hAnsi="Arial" w:cs="Arial"/>
                <w:b/>
                <w:lang w:val="en-US"/>
              </w:rPr>
              <w:t>Not met</w:t>
            </w:r>
            <w:r w:rsidR="00E61729">
              <w:rPr>
                <w:rFonts w:ascii="Arial" w:hAnsi="Arial" w:cs="Arial"/>
                <w:b/>
                <w:lang w:val="en-US"/>
              </w:rPr>
              <w:t xml:space="preserve"> </w:t>
            </w:r>
          </w:p>
        </w:tc>
        <w:tc>
          <w:tcPr>
            <w:tcW w:w="1810" w:type="dxa"/>
          </w:tcPr>
          <w:p w14:paraId="63771BCF" w14:textId="0AA81D61" w:rsidR="007E1876" w:rsidRDefault="007C08FA" w:rsidP="00D6729D">
            <w:pPr>
              <w:contextualSpacing/>
              <w:rPr>
                <w:rFonts w:ascii="Arial" w:hAnsi="Arial" w:cs="Arial"/>
                <w:lang w:val="en-US"/>
              </w:rPr>
            </w:pPr>
            <w:r>
              <w:rPr>
                <w:rFonts w:ascii="Arial" w:hAnsi="Arial" w:cs="Arial"/>
                <w:lang w:val="en-US"/>
              </w:rPr>
              <w:t>0</w:t>
            </w:r>
          </w:p>
        </w:tc>
        <w:tc>
          <w:tcPr>
            <w:tcW w:w="4678" w:type="dxa"/>
          </w:tcPr>
          <w:p w14:paraId="6B72C5A3" w14:textId="4D1C5474" w:rsidR="007E1876" w:rsidRDefault="001178E0" w:rsidP="00D6729D">
            <w:pPr>
              <w:contextualSpacing/>
              <w:rPr>
                <w:rFonts w:ascii="Arial" w:hAnsi="Arial" w:cs="Arial"/>
                <w:lang w:val="en-US"/>
              </w:rPr>
            </w:pPr>
            <w:r>
              <w:rPr>
                <w:rFonts w:ascii="Arial" w:hAnsi="Arial" w:cs="Arial"/>
                <w:lang w:val="en-US"/>
              </w:rPr>
              <w:t>-</w:t>
            </w:r>
          </w:p>
        </w:tc>
      </w:tr>
    </w:tbl>
    <w:p w14:paraId="3AD4DF72" w14:textId="77777777" w:rsidR="001E00FC" w:rsidRDefault="001E00FC" w:rsidP="00D6729D">
      <w:pPr>
        <w:spacing w:line="240" w:lineRule="auto"/>
        <w:contextualSpacing/>
        <w:rPr>
          <w:rFonts w:ascii="Arial" w:hAnsi="Arial" w:cs="Arial"/>
          <w:lang w:val="en-US"/>
        </w:rPr>
      </w:pPr>
    </w:p>
    <w:p w14:paraId="6D534862" w14:textId="6DBF9F96" w:rsidR="002D2768" w:rsidRDefault="00573B98" w:rsidP="00D6729D">
      <w:pPr>
        <w:spacing w:line="240" w:lineRule="auto"/>
        <w:contextualSpacing/>
        <w:rPr>
          <w:rFonts w:ascii="Arial" w:hAnsi="Arial" w:cs="Arial"/>
          <w:lang w:val="en-US"/>
        </w:rPr>
      </w:pPr>
      <w:r w:rsidRPr="4050D7CF">
        <w:rPr>
          <w:rFonts w:ascii="Arial" w:hAnsi="Arial" w:cs="Arial"/>
          <w:lang w:val="en-US"/>
        </w:rPr>
        <w:t>R</w:t>
      </w:r>
      <w:r w:rsidR="002D2768" w:rsidRPr="4050D7CF">
        <w:rPr>
          <w:rFonts w:ascii="Arial" w:hAnsi="Arial" w:cs="Arial"/>
          <w:lang w:val="en-US"/>
        </w:rPr>
        <w:t xml:space="preserve">equirements </w:t>
      </w:r>
      <w:r w:rsidR="00C969A7" w:rsidRPr="4050D7CF">
        <w:rPr>
          <w:rFonts w:ascii="Arial" w:hAnsi="Arial" w:cs="Arial"/>
          <w:lang w:val="en-US"/>
        </w:rPr>
        <w:t xml:space="preserve">that were considered to </w:t>
      </w:r>
      <w:r w:rsidR="00F12B37" w:rsidRPr="4050D7CF">
        <w:rPr>
          <w:rFonts w:ascii="Arial" w:hAnsi="Arial" w:cs="Arial"/>
          <w:lang w:val="en-US"/>
        </w:rPr>
        <w:t xml:space="preserve">be </w:t>
      </w:r>
      <w:r w:rsidR="002D2768" w:rsidRPr="4050D7CF">
        <w:rPr>
          <w:rFonts w:ascii="Arial" w:hAnsi="Arial" w:cs="Arial"/>
          <w:lang w:val="en-US"/>
        </w:rPr>
        <w:t>partly met</w:t>
      </w:r>
      <w:r w:rsidR="00F12B37" w:rsidRPr="4050D7CF">
        <w:rPr>
          <w:rFonts w:ascii="Arial" w:hAnsi="Arial" w:cs="Arial"/>
          <w:lang w:val="en-US"/>
        </w:rPr>
        <w:t xml:space="preserve"> have resulted in</w:t>
      </w:r>
      <w:r w:rsidR="004F51FB" w:rsidRPr="4050D7CF">
        <w:rPr>
          <w:rFonts w:ascii="Arial" w:hAnsi="Arial" w:cs="Arial"/>
          <w:lang w:val="en-US"/>
        </w:rPr>
        <w:t xml:space="preserve"> </w:t>
      </w:r>
      <w:r w:rsidR="00C03F72">
        <w:rPr>
          <w:rFonts w:ascii="Arial" w:hAnsi="Arial" w:cs="Arial"/>
          <w:lang w:val="en-US"/>
        </w:rPr>
        <w:t>four</w:t>
      </w:r>
      <w:r w:rsidR="477EB9EC" w:rsidRPr="4050D7CF">
        <w:rPr>
          <w:rFonts w:ascii="Arial" w:hAnsi="Arial" w:cs="Arial"/>
          <w:lang w:val="en-US"/>
        </w:rPr>
        <w:t xml:space="preserve"> </w:t>
      </w:r>
      <w:r w:rsidR="002D2768" w:rsidRPr="4050D7CF">
        <w:rPr>
          <w:rFonts w:ascii="Arial" w:hAnsi="Arial" w:cs="Arial"/>
          <w:lang w:val="en-US"/>
        </w:rPr>
        <w:t>actions</w:t>
      </w:r>
      <w:r w:rsidR="007536F9" w:rsidRPr="4050D7CF">
        <w:rPr>
          <w:rFonts w:ascii="Arial" w:hAnsi="Arial" w:cs="Arial"/>
          <w:lang w:val="en-US"/>
        </w:rPr>
        <w:t xml:space="preserve"> </w:t>
      </w:r>
      <w:r w:rsidR="00970F9F" w:rsidRPr="4050D7CF">
        <w:rPr>
          <w:rFonts w:ascii="Arial" w:hAnsi="Arial" w:cs="Arial"/>
          <w:lang w:val="en-US"/>
        </w:rPr>
        <w:t xml:space="preserve">across </w:t>
      </w:r>
      <w:r w:rsidR="00C03F72">
        <w:rPr>
          <w:rFonts w:ascii="Arial" w:hAnsi="Arial" w:cs="Arial"/>
          <w:lang w:val="en-US"/>
        </w:rPr>
        <w:t>three</w:t>
      </w:r>
      <w:r w:rsidR="00970F9F" w:rsidRPr="4050D7CF">
        <w:rPr>
          <w:rFonts w:ascii="Arial" w:hAnsi="Arial" w:cs="Arial"/>
          <w:lang w:val="en-US"/>
        </w:rPr>
        <w:t xml:space="preserve"> “Partly Met” Requirements, </w:t>
      </w:r>
      <w:r w:rsidR="007536F9" w:rsidRPr="4050D7CF">
        <w:rPr>
          <w:rFonts w:ascii="Arial" w:hAnsi="Arial" w:cs="Arial"/>
          <w:lang w:val="en-US"/>
        </w:rPr>
        <w:t xml:space="preserve">which </w:t>
      </w:r>
      <w:r w:rsidR="0004225B" w:rsidRPr="4050D7CF">
        <w:rPr>
          <w:rFonts w:ascii="Arial" w:hAnsi="Arial" w:cs="Arial"/>
          <w:lang w:val="en-US"/>
        </w:rPr>
        <w:t>HEE SW TVW</w:t>
      </w:r>
      <w:r w:rsidR="00A22C30" w:rsidRPr="4050D7CF">
        <w:rPr>
          <w:rFonts w:ascii="Arial" w:hAnsi="Arial" w:cs="Arial"/>
          <w:lang w:val="en-US"/>
        </w:rPr>
        <w:t xml:space="preserve"> </w:t>
      </w:r>
      <w:r w:rsidR="007536F9" w:rsidRPr="4050D7CF">
        <w:rPr>
          <w:rFonts w:ascii="Arial" w:hAnsi="Arial" w:cs="Arial"/>
          <w:lang w:val="en-US"/>
        </w:rPr>
        <w:t xml:space="preserve">must address </w:t>
      </w:r>
      <w:r w:rsidR="00166086" w:rsidRPr="4050D7CF">
        <w:rPr>
          <w:rFonts w:ascii="Arial" w:hAnsi="Arial" w:cs="Arial"/>
          <w:lang w:val="en-US"/>
        </w:rPr>
        <w:t xml:space="preserve">by </w:t>
      </w:r>
      <w:r w:rsidR="007536F9" w:rsidRPr="4050D7CF">
        <w:rPr>
          <w:rFonts w:ascii="Arial" w:hAnsi="Arial" w:cs="Arial"/>
          <w:lang w:val="en-US"/>
        </w:rPr>
        <w:t xml:space="preserve">the end of </w:t>
      </w:r>
      <w:r w:rsidR="00A22C30" w:rsidRPr="4050D7CF">
        <w:rPr>
          <w:rFonts w:ascii="Arial" w:hAnsi="Arial" w:cs="Arial"/>
          <w:lang w:val="en-US"/>
        </w:rPr>
        <w:t>quarter</w:t>
      </w:r>
      <w:r w:rsidR="008B4AD1" w:rsidRPr="4050D7CF">
        <w:rPr>
          <w:rFonts w:ascii="Arial" w:hAnsi="Arial" w:cs="Arial"/>
          <w:lang w:val="en-US"/>
        </w:rPr>
        <w:t xml:space="preserve"> 4</w:t>
      </w:r>
      <w:r w:rsidR="00A22C30" w:rsidRPr="4050D7CF">
        <w:rPr>
          <w:rFonts w:ascii="Arial" w:hAnsi="Arial" w:cs="Arial"/>
          <w:lang w:val="en-US"/>
        </w:rPr>
        <w:t xml:space="preserve"> </w:t>
      </w:r>
      <w:r w:rsidR="00C03F72">
        <w:rPr>
          <w:rFonts w:ascii="Arial" w:hAnsi="Arial" w:cs="Arial"/>
          <w:lang w:val="en-US"/>
        </w:rPr>
        <w:t xml:space="preserve">of </w:t>
      </w:r>
      <w:r w:rsidR="008B4AD1" w:rsidRPr="4050D7CF">
        <w:rPr>
          <w:rFonts w:ascii="Arial" w:hAnsi="Arial" w:cs="Arial"/>
          <w:lang w:val="en-US"/>
        </w:rPr>
        <w:t>2022</w:t>
      </w:r>
      <w:r w:rsidR="00A22C30" w:rsidRPr="4050D7CF">
        <w:rPr>
          <w:rFonts w:ascii="Arial" w:hAnsi="Arial" w:cs="Arial"/>
          <w:lang w:val="en-US"/>
        </w:rPr>
        <w:t xml:space="preserve"> </w:t>
      </w:r>
      <w:r w:rsidR="00166086" w:rsidRPr="4050D7CF">
        <w:rPr>
          <w:rFonts w:ascii="Arial" w:hAnsi="Arial" w:cs="Arial"/>
          <w:lang w:val="en-US"/>
        </w:rPr>
        <w:t xml:space="preserve">to demonstrate progress against </w:t>
      </w:r>
      <w:r w:rsidR="002D2768" w:rsidRPr="4050D7CF">
        <w:rPr>
          <w:rFonts w:ascii="Arial" w:hAnsi="Arial" w:cs="Arial"/>
          <w:lang w:val="en-US"/>
        </w:rPr>
        <w:t xml:space="preserve">these </w:t>
      </w:r>
      <w:r w:rsidR="0079027C" w:rsidRPr="4050D7CF">
        <w:rPr>
          <w:rFonts w:ascii="Arial" w:hAnsi="Arial" w:cs="Arial"/>
          <w:lang w:val="en-US"/>
        </w:rPr>
        <w:t>R</w:t>
      </w:r>
      <w:r w:rsidR="002D2768" w:rsidRPr="4050D7CF">
        <w:rPr>
          <w:rFonts w:ascii="Arial" w:hAnsi="Arial" w:cs="Arial"/>
          <w:lang w:val="en-US"/>
        </w:rPr>
        <w:t xml:space="preserve">equirements.  </w:t>
      </w:r>
    </w:p>
    <w:p w14:paraId="212AF9CE" w14:textId="08BE175A" w:rsidR="001E00FC" w:rsidRDefault="001E00FC" w:rsidP="00D6729D">
      <w:pPr>
        <w:spacing w:line="240" w:lineRule="auto"/>
        <w:contextualSpacing/>
        <w:rPr>
          <w:rFonts w:ascii="Arial" w:hAnsi="Arial" w:cs="Arial"/>
          <w:lang w:val="en-US"/>
        </w:rPr>
      </w:pPr>
    </w:p>
    <w:p w14:paraId="5449FC4F" w14:textId="2B47BF43" w:rsidR="0004225B" w:rsidRDefault="0004225B" w:rsidP="0004225B">
      <w:pPr>
        <w:spacing w:line="240" w:lineRule="auto"/>
        <w:contextualSpacing/>
        <w:rPr>
          <w:rFonts w:ascii="Arial" w:hAnsi="Arial" w:cs="Arial"/>
          <w:lang w:val="en-US"/>
        </w:rPr>
      </w:pPr>
      <w:r>
        <w:rPr>
          <w:rFonts w:ascii="Arial" w:hAnsi="Arial" w:cs="Arial"/>
          <w:lang w:val="en-US"/>
        </w:rPr>
        <w:t>The GDC wishes to thank HEE SW TVW and the team for their co-operation and assistance with this submission</w:t>
      </w:r>
      <w:r w:rsidR="00152A4E">
        <w:rPr>
          <w:rFonts w:ascii="Arial" w:hAnsi="Arial" w:cs="Arial"/>
          <w:lang w:val="en-US"/>
        </w:rPr>
        <w:t xml:space="preserve">. </w:t>
      </w:r>
    </w:p>
    <w:p w14:paraId="7F927E0E" w14:textId="31FADF4A" w:rsidR="001E00FC" w:rsidRDefault="001E00FC" w:rsidP="00D6729D">
      <w:pPr>
        <w:spacing w:line="240" w:lineRule="auto"/>
        <w:contextualSpacing/>
        <w:rPr>
          <w:rFonts w:ascii="Arial" w:hAnsi="Arial" w:cs="Arial"/>
          <w:lang w:val="en-US"/>
        </w:rPr>
      </w:pPr>
    </w:p>
    <w:p w14:paraId="0054EBA2" w14:textId="54E05FD8" w:rsidR="001E00FC" w:rsidRDefault="001E00FC" w:rsidP="00D6729D">
      <w:pPr>
        <w:spacing w:line="240" w:lineRule="auto"/>
        <w:contextualSpacing/>
        <w:rPr>
          <w:rFonts w:ascii="Arial" w:hAnsi="Arial" w:cs="Arial"/>
          <w:lang w:val="en-US"/>
        </w:rPr>
      </w:pPr>
    </w:p>
    <w:p w14:paraId="75ABC30C" w14:textId="6B16DF07" w:rsidR="001E00FC" w:rsidRDefault="001E00FC" w:rsidP="00D6729D">
      <w:pPr>
        <w:spacing w:line="240" w:lineRule="auto"/>
        <w:contextualSpacing/>
        <w:rPr>
          <w:rFonts w:ascii="Arial" w:hAnsi="Arial" w:cs="Arial"/>
          <w:lang w:val="en-US"/>
        </w:rPr>
      </w:pPr>
    </w:p>
    <w:p w14:paraId="67770A59" w14:textId="5CD4ED72" w:rsidR="00A0370C" w:rsidRDefault="00A0370C" w:rsidP="00D6729D">
      <w:pPr>
        <w:spacing w:line="240" w:lineRule="auto"/>
        <w:contextualSpacing/>
        <w:rPr>
          <w:rFonts w:ascii="Arial" w:hAnsi="Arial" w:cs="Arial"/>
          <w:lang w:val="en-US"/>
        </w:rPr>
      </w:pPr>
    </w:p>
    <w:p w14:paraId="6FA60494" w14:textId="4F0A9D9F" w:rsidR="00A0370C" w:rsidRDefault="00A0370C" w:rsidP="00D6729D">
      <w:pPr>
        <w:spacing w:line="240" w:lineRule="auto"/>
        <w:contextualSpacing/>
        <w:rPr>
          <w:rFonts w:ascii="Arial" w:hAnsi="Arial" w:cs="Arial"/>
          <w:lang w:val="en-US"/>
        </w:rPr>
      </w:pPr>
    </w:p>
    <w:p w14:paraId="654DC057" w14:textId="77777777" w:rsidR="00A0370C" w:rsidRDefault="00A0370C" w:rsidP="00D6729D">
      <w:pPr>
        <w:spacing w:line="240" w:lineRule="auto"/>
        <w:contextualSpacing/>
        <w:rPr>
          <w:rFonts w:ascii="Arial" w:hAnsi="Arial" w:cs="Arial"/>
          <w:lang w:val="en-US"/>
        </w:rPr>
      </w:pPr>
    </w:p>
    <w:p w14:paraId="51BD3BB6" w14:textId="499C7A38" w:rsidR="001E00FC" w:rsidRDefault="001E00FC" w:rsidP="00D6729D">
      <w:pPr>
        <w:spacing w:line="240" w:lineRule="auto"/>
        <w:contextualSpacing/>
        <w:rPr>
          <w:rFonts w:ascii="Arial" w:hAnsi="Arial" w:cs="Arial"/>
          <w:lang w:val="en-US"/>
        </w:rPr>
      </w:pPr>
    </w:p>
    <w:p w14:paraId="130982B3" w14:textId="6EE7C406" w:rsidR="00A90DA5" w:rsidRDefault="00A90DA5" w:rsidP="00D6729D">
      <w:pPr>
        <w:spacing w:line="240" w:lineRule="auto"/>
        <w:contextualSpacing/>
        <w:rPr>
          <w:rFonts w:ascii="Arial" w:hAnsi="Arial" w:cs="Arial"/>
          <w:lang w:val="en-US"/>
        </w:rPr>
      </w:pPr>
    </w:p>
    <w:p w14:paraId="0C83431F" w14:textId="77777777" w:rsidR="00F86E99" w:rsidRDefault="00F86E99" w:rsidP="00D6729D">
      <w:pPr>
        <w:spacing w:line="240" w:lineRule="auto"/>
        <w:contextualSpacing/>
        <w:rPr>
          <w:rFonts w:ascii="Arial" w:hAnsi="Arial" w:cs="Arial"/>
          <w:b/>
          <w:color w:val="1F3864" w:themeColor="accent1" w:themeShade="80"/>
          <w:sz w:val="28"/>
        </w:rPr>
      </w:pPr>
    </w:p>
    <w:p w14:paraId="3BD619CA" w14:textId="77777777" w:rsidR="00F86E99" w:rsidRDefault="00F86E99" w:rsidP="00D6729D">
      <w:pPr>
        <w:spacing w:line="240" w:lineRule="auto"/>
        <w:contextualSpacing/>
        <w:rPr>
          <w:rFonts w:ascii="Arial" w:hAnsi="Arial" w:cs="Arial"/>
          <w:b/>
          <w:color w:val="1F3864" w:themeColor="accent1" w:themeShade="80"/>
          <w:sz w:val="28"/>
        </w:rPr>
      </w:pPr>
    </w:p>
    <w:p w14:paraId="782333EA" w14:textId="1FA83559" w:rsidR="000957F1" w:rsidRDefault="00F671FD" w:rsidP="00D6729D">
      <w:pPr>
        <w:spacing w:line="240" w:lineRule="auto"/>
        <w:contextualSpacing/>
        <w:rPr>
          <w:rFonts w:ascii="Arial" w:hAnsi="Arial" w:cs="Arial"/>
          <w:b/>
          <w:color w:val="1F3864" w:themeColor="accent1" w:themeShade="80"/>
          <w:sz w:val="28"/>
        </w:rPr>
      </w:pPr>
      <w:r w:rsidRPr="00F671FD">
        <w:rPr>
          <w:rFonts w:ascii="Arial" w:hAnsi="Arial" w:cs="Arial"/>
          <w:b/>
          <w:color w:val="1F3864" w:themeColor="accent1" w:themeShade="80"/>
          <w:sz w:val="28"/>
        </w:rPr>
        <w:lastRenderedPageBreak/>
        <w:t>Outcome of relevant Requirements</w:t>
      </w:r>
      <w:r w:rsidR="00E74B2B">
        <w:rPr>
          <w:rFonts w:ascii="Arial" w:hAnsi="Arial" w:cs="Arial"/>
          <w:b/>
          <w:color w:val="1F3864" w:themeColor="accent1" w:themeShade="80"/>
          <w:sz w:val="28"/>
        </w:rPr>
        <w:t>:</w:t>
      </w:r>
    </w:p>
    <w:p w14:paraId="48019704" w14:textId="77777777" w:rsidR="001E00FC" w:rsidRPr="00BA0A18" w:rsidRDefault="001E00FC" w:rsidP="00D6729D">
      <w:pPr>
        <w:spacing w:line="240" w:lineRule="auto"/>
        <w:contextualSpacing/>
        <w:rPr>
          <w:rFonts w:ascii="Arial" w:hAnsi="Arial" w:cs="Arial"/>
          <w:color w:val="1F3864" w:themeColor="accent1" w:themeShade="80"/>
          <w:sz w:val="24"/>
        </w:rPr>
      </w:pPr>
    </w:p>
    <w:tbl>
      <w:tblPr>
        <w:tblStyle w:val="TableGrid"/>
        <w:tblW w:w="0" w:type="auto"/>
        <w:tblLook w:val="04A0" w:firstRow="1" w:lastRow="0" w:firstColumn="1" w:lastColumn="0" w:noHBand="0" w:noVBand="1"/>
      </w:tblPr>
      <w:tblGrid>
        <w:gridCol w:w="4508"/>
        <w:gridCol w:w="4508"/>
      </w:tblGrid>
      <w:tr w:rsidR="00E2148E" w14:paraId="7889A1BF" w14:textId="77777777" w:rsidTr="00F51D53">
        <w:tc>
          <w:tcPr>
            <w:tcW w:w="9016" w:type="dxa"/>
            <w:gridSpan w:val="2"/>
            <w:shd w:val="clear" w:color="auto" w:fill="D9D9D9" w:themeFill="background1" w:themeFillShade="D9"/>
          </w:tcPr>
          <w:p w14:paraId="798B8566" w14:textId="77777777" w:rsidR="00E2148E" w:rsidRPr="003605BF" w:rsidRDefault="00E2148E" w:rsidP="00D6729D">
            <w:pPr>
              <w:contextualSpacing/>
              <w:rPr>
                <w:rFonts w:ascii="Arial" w:hAnsi="Arial" w:cs="Arial"/>
                <w:b/>
              </w:rPr>
            </w:pPr>
            <w:r w:rsidRPr="003605BF">
              <w:rPr>
                <w:rFonts w:ascii="Arial" w:hAnsi="Arial" w:cs="Arial"/>
                <w:b/>
              </w:rPr>
              <w:t>Standard One</w:t>
            </w:r>
          </w:p>
        </w:tc>
      </w:tr>
      <w:tr w:rsidR="00E2148E" w14:paraId="6EC38652" w14:textId="77777777" w:rsidTr="00F51D53">
        <w:trPr>
          <w:trHeight w:val="565"/>
        </w:trPr>
        <w:tc>
          <w:tcPr>
            <w:tcW w:w="4508" w:type="dxa"/>
          </w:tcPr>
          <w:p w14:paraId="530F1ACA" w14:textId="77777777" w:rsidR="00E2148E" w:rsidRDefault="002D2768" w:rsidP="00D6729D">
            <w:pPr>
              <w:contextualSpacing/>
              <w:rPr>
                <w:rFonts w:ascii="Arial" w:hAnsi="Arial" w:cs="Arial"/>
              </w:rPr>
            </w:pPr>
            <w:r>
              <w:rPr>
                <w:rFonts w:ascii="Arial" w:hAnsi="Arial" w:cs="Arial"/>
              </w:rPr>
              <w:t>P</w:t>
            </w:r>
            <w:r w:rsidR="00E2148E">
              <w:rPr>
                <w:rFonts w:ascii="Arial" w:hAnsi="Arial" w:cs="Arial"/>
              </w:rPr>
              <w:t>1</w:t>
            </w:r>
          </w:p>
          <w:p w14:paraId="0583A1B6" w14:textId="77777777" w:rsidR="00E2148E" w:rsidRDefault="00E2148E" w:rsidP="00D6729D">
            <w:pPr>
              <w:contextualSpacing/>
              <w:rPr>
                <w:rFonts w:ascii="Arial" w:hAnsi="Arial" w:cs="Arial"/>
              </w:rPr>
            </w:pPr>
          </w:p>
        </w:tc>
        <w:tc>
          <w:tcPr>
            <w:tcW w:w="4508" w:type="dxa"/>
          </w:tcPr>
          <w:p w14:paraId="25DF6CEE" w14:textId="7FC6C8EF" w:rsidR="00142CB7" w:rsidRDefault="00DD6406" w:rsidP="00D6729D">
            <w:pPr>
              <w:contextualSpacing/>
              <w:rPr>
                <w:rFonts w:ascii="Arial" w:hAnsi="Arial" w:cs="Arial"/>
              </w:rPr>
            </w:pPr>
            <w:r>
              <w:rPr>
                <w:rFonts w:ascii="Arial" w:hAnsi="Arial" w:cs="Arial"/>
              </w:rPr>
              <w:t>Met</w:t>
            </w:r>
          </w:p>
          <w:p w14:paraId="0762A794" w14:textId="77777777" w:rsidR="00143716" w:rsidRDefault="00143716" w:rsidP="00D6729D">
            <w:pPr>
              <w:contextualSpacing/>
              <w:rPr>
                <w:rFonts w:ascii="Arial" w:hAnsi="Arial" w:cs="Arial"/>
              </w:rPr>
            </w:pPr>
          </w:p>
        </w:tc>
      </w:tr>
      <w:tr w:rsidR="00A22C30" w14:paraId="3F49BCBD" w14:textId="77777777" w:rsidTr="00F51D53">
        <w:tc>
          <w:tcPr>
            <w:tcW w:w="4508" w:type="dxa"/>
          </w:tcPr>
          <w:p w14:paraId="5E04E269" w14:textId="77777777" w:rsidR="00A22C30" w:rsidRDefault="00A22C30" w:rsidP="00A22C30">
            <w:pPr>
              <w:contextualSpacing/>
              <w:rPr>
                <w:rFonts w:ascii="Arial" w:hAnsi="Arial" w:cs="Arial"/>
              </w:rPr>
            </w:pPr>
            <w:r>
              <w:rPr>
                <w:rFonts w:ascii="Arial" w:hAnsi="Arial" w:cs="Arial"/>
              </w:rPr>
              <w:t>P2</w:t>
            </w:r>
          </w:p>
          <w:p w14:paraId="7C6EC243" w14:textId="77777777" w:rsidR="00A22C30" w:rsidRDefault="00A22C30" w:rsidP="00A22C30">
            <w:pPr>
              <w:contextualSpacing/>
              <w:rPr>
                <w:rFonts w:ascii="Arial" w:hAnsi="Arial" w:cs="Arial"/>
              </w:rPr>
            </w:pPr>
          </w:p>
        </w:tc>
        <w:tc>
          <w:tcPr>
            <w:tcW w:w="4508" w:type="dxa"/>
          </w:tcPr>
          <w:p w14:paraId="2476C61D" w14:textId="350A4A7D" w:rsidR="00A22C30" w:rsidRDefault="00A22C30" w:rsidP="00A22C30">
            <w:pPr>
              <w:contextualSpacing/>
              <w:rPr>
                <w:rFonts w:ascii="Arial" w:hAnsi="Arial" w:cs="Arial"/>
              </w:rPr>
            </w:pPr>
            <w:r>
              <w:rPr>
                <w:rFonts w:ascii="Arial" w:hAnsi="Arial" w:cs="Arial"/>
              </w:rPr>
              <w:t>Partly Met</w:t>
            </w:r>
          </w:p>
          <w:p w14:paraId="14CAB335" w14:textId="77777777" w:rsidR="00A22C30" w:rsidRDefault="00A22C30" w:rsidP="00A22C30">
            <w:pPr>
              <w:contextualSpacing/>
              <w:rPr>
                <w:rFonts w:ascii="Arial" w:hAnsi="Arial" w:cs="Arial"/>
              </w:rPr>
            </w:pPr>
          </w:p>
        </w:tc>
      </w:tr>
      <w:tr w:rsidR="00A22C30" w14:paraId="757778C1" w14:textId="77777777" w:rsidTr="00F51D53">
        <w:tc>
          <w:tcPr>
            <w:tcW w:w="4508" w:type="dxa"/>
          </w:tcPr>
          <w:p w14:paraId="0ADA7941" w14:textId="77777777" w:rsidR="00A22C30" w:rsidRDefault="00A22C30" w:rsidP="00A22C30">
            <w:pPr>
              <w:contextualSpacing/>
              <w:rPr>
                <w:rFonts w:ascii="Arial" w:hAnsi="Arial" w:cs="Arial"/>
              </w:rPr>
            </w:pPr>
            <w:r>
              <w:rPr>
                <w:rFonts w:ascii="Arial" w:hAnsi="Arial" w:cs="Arial"/>
              </w:rPr>
              <w:t>P3</w:t>
            </w:r>
          </w:p>
          <w:p w14:paraId="7A6A56E0" w14:textId="77777777" w:rsidR="00A22C30" w:rsidRDefault="00A22C30" w:rsidP="00A22C30">
            <w:pPr>
              <w:contextualSpacing/>
              <w:rPr>
                <w:rFonts w:ascii="Arial" w:hAnsi="Arial" w:cs="Arial"/>
              </w:rPr>
            </w:pPr>
          </w:p>
        </w:tc>
        <w:tc>
          <w:tcPr>
            <w:tcW w:w="4508" w:type="dxa"/>
          </w:tcPr>
          <w:p w14:paraId="2A1D277D" w14:textId="05CB9303" w:rsidR="00A22C30" w:rsidRDefault="00A22C30" w:rsidP="00A22C30">
            <w:pPr>
              <w:contextualSpacing/>
              <w:rPr>
                <w:rFonts w:ascii="Arial" w:hAnsi="Arial" w:cs="Arial"/>
              </w:rPr>
            </w:pPr>
            <w:r>
              <w:rPr>
                <w:rFonts w:ascii="Arial" w:hAnsi="Arial" w:cs="Arial"/>
              </w:rPr>
              <w:t>Met</w:t>
            </w:r>
          </w:p>
          <w:p w14:paraId="2D10B834" w14:textId="77777777" w:rsidR="00A22C30" w:rsidRDefault="00A22C30" w:rsidP="00A22C30">
            <w:pPr>
              <w:contextualSpacing/>
              <w:rPr>
                <w:rFonts w:ascii="Arial" w:hAnsi="Arial" w:cs="Arial"/>
              </w:rPr>
            </w:pPr>
          </w:p>
        </w:tc>
      </w:tr>
      <w:tr w:rsidR="00A22C30" w14:paraId="24CE384A" w14:textId="77777777" w:rsidTr="00F51D53">
        <w:tc>
          <w:tcPr>
            <w:tcW w:w="4508" w:type="dxa"/>
          </w:tcPr>
          <w:p w14:paraId="03608A77" w14:textId="77777777" w:rsidR="00A22C30" w:rsidRDefault="00A22C30" w:rsidP="00A22C30">
            <w:pPr>
              <w:contextualSpacing/>
              <w:rPr>
                <w:rFonts w:ascii="Arial" w:hAnsi="Arial" w:cs="Arial"/>
              </w:rPr>
            </w:pPr>
            <w:r>
              <w:rPr>
                <w:rFonts w:ascii="Arial" w:hAnsi="Arial" w:cs="Arial"/>
              </w:rPr>
              <w:t>P4</w:t>
            </w:r>
          </w:p>
          <w:p w14:paraId="29AC9E92" w14:textId="77777777" w:rsidR="00A22C30" w:rsidRDefault="00A22C30" w:rsidP="00A22C30">
            <w:pPr>
              <w:contextualSpacing/>
              <w:rPr>
                <w:rFonts w:ascii="Arial" w:hAnsi="Arial" w:cs="Arial"/>
              </w:rPr>
            </w:pPr>
          </w:p>
        </w:tc>
        <w:tc>
          <w:tcPr>
            <w:tcW w:w="4508" w:type="dxa"/>
          </w:tcPr>
          <w:p w14:paraId="03A52F53" w14:textId="167E054A" w:rsidR="00A22C30" w:rsidRDefault="00A22C30" w:rsidP="00A22C30">
            <w:pPr>
              <w:contextualSpacing/>
              <w:rPr>
                <w:rFonts w:ascii="Arial" w:hAnsi="Arial" w:cs="Arial"/>
              </w:rPr>
            </w:pPr>
            <w:r>
              <w:rPr>
                <w:rFonts w:ascii="Arial" w:hAnsi="Arial" w:cs="Arial"/>
              </w:rPr>
              <w:t>Met</w:t>
            </w:r>
          </w:p>
          <w:p w14:paraId="25EA33B4" w14:textId="77777777" w:rsidR="00A22C30" w:rsidRDefault="00A22C30" w:rsidP="00A22C30">
            <w:pPr>
              <w:contextualSpacing/>
              <w:rPr>
                <w:rFonts w:ascii="Arial" w:hAnsi="Arial" w:cs="Arial"/>
              </w:rPr>
            </w:pPr>
          </w:p>
        </w:tc>
      </w:tr>
      <w:tr w:rsidR="00A22C30" w14:paraId="2CD14CE1" w14:textId="77777777" w:rsidTr="00F51D53">
        <w:tc>
          <w:tcPr>
            <w:tcW w:w="4508" w:type="dxa"/>
          </w:tcPr>
          <w:p w14:paraId="165235B1" w14:textId="77777777" w:rsidR="00A22C30" w:rsidRDefault="00A22C30" w:rsidP="00A22C30">
            <w:pPr>
              <w:contextualSpacing/>
              <w:rPr>
                <w:rFonts w:ascii="Arial" w:hAnsi="Arial" w:cs="Arial"/>
              </w:rPr>
            </w:pPr>
            <w:r>
              <w:rPr>
                <w:rFonts w:ascii="Arial" w:hAnsi="Arial" w:cs="Arial"/>
              </w:rPr>
              <w:t>P5</w:t>
            </w:r>
          </w:p>
          <w:p w14:paraId="6AE293BA" w14:textId="77777777" w:rsidR="00A22C30" w:rsidRDefault="00A22C30" w:rsidP="00A22C30">
            <w:pPr>
              <w:contextualSpacing/>
              <w:rPr>
                <w:rFonts w:ascii="Arial" w:hAnsi="Arial" w:cs="Arial"/>
              </w:rPr>
            </w:pPr>
          </w:p>
        </w:tc>
        <w:tc>
          <w:tcPr>
            <w:tcW w:w="4508" w:type="dxa"/>
          </w:tcPr>
          <w:p w14:paraId="655C9BC9" w14:textId="606D68D8" w:rsidR="00A22C30" w:rsidRDefault="00A22C30" w:rsidP="00D83405">
            <w:pPr>
              <w:contextualSpacing/>
              <w:rPr>
                <w:rFonts w:ascii="Arial" w:hAnsi="Arial" w:cs="Arial"/>
              </w:rPr>
            </w:pPr>
            <w:r w:rsidRPr="00D83405">
              <w:rPr>
                <w:rFonts w:ascii="Arial" w:hAnsi="Arial" w:cs="Arial"/>
              </w:rPr>
              <w:t>Partly Met</w:t>
            </w:r>
          </w:p>
        </w:tc>
      </w:tr>
      <w:tr w:rsidR="00A22C30" w14:paraId="322C8E69" w14:textId="77777777" w:rsidTr="00F51D53">
        <w:tc>
          <w:tcPr>
            <w:tcW w:w="4508" w:type="dxa"/>
          </w:tcPr>
          <w:p w14:paraId="747F2BED" w14:textId="77777777" w:rsidR="00A22C30" w:rsidRDefault="00A22C30" w:rsidP="00A22C30">
            <w:pPr>
              <w:contextualSpacing/>
              <w:rPr>
                <w:rFonts w:ascii="Arial" w:hAnsi="Arial" w:cs="Arial"/>
              </w:rPr>
            </w:pPr>
            <w:r>
              <w:rPr>
                <w:rFonts w:ascii="Arial" w:hAnsi="Arial" w:cs="Arial"/>
              </w:rPr>
              <w:t>P6</w:t>
            </w:r>
          </w:p>
          <w:p w14:paraId="4DC51B48" w14:textId="77777777" w:rsidR="00A22C30" w:rsidRDefault="00A22C30" w:rsidP="00A22C30">
            <w:pPr>
              <w:contextualSpacing/>
              <w:rPr>
                <w:rFonts w:ascii="Arial" w:hAnsi="Arial" w:cs="Arial"/>
              </w:rPr>
            </w:pPr>
          </w:p>
        </w:tc>
        <w:tc>
          <w:tcPr>
            <w:tcW w:w="4508" w:type="dxa"/>
          </w:tcPr>
          <w:p w14:paraId="624D1B96" w14:textId="6C68BB89" w:rsidR="00A22C30" w:rsidRDefault="00A22C30" w:rsidP="00A22C30">
            <w:pPr>
              <w:contextualSpacing/>
              <w:rPr>
                <w:rFonts w:ascii="Arial" w:hAnsi="Arial" w:cs="Arial"/>
              </w:rPr>
            </w:pPr>
            <w:r>
              <w:rPr>
                <w:rFonts w:ascii="Arial" w:hAnsi="Arial" w:cs="Arial"/>
              </w:rPr>
              <w:t>Met</w:t>
            </w:r>
          </w:p>
          <w:p w14:paraId="30B1DB08" w14:textId="77777777" w:rsidR="00A22C30" w:rsidRDefault="00A22C30" w:rsidP="00A22C30">
            <w:pPr>
              <w:contextualSpacing/>
              <w:rPr>
                <w:rFonts w:ascii="Arial" w:hAnsi="Arial" w:cs="Arial"/>
              </w:rPr>
            </w:pPr>
          </w:p>
        </w:tc>
      </w:tr>
      <w:tr w:rsidR="00A22C30" w14:paraId="05092D3F" w14:textId="77777777" w:rsidTr="00F51D53">
        <w:tc>
          <w:tcPr>
            <w:tcW w:w="4508" w:type="dxa"/>
          </w:tcPr>
          <w:p w14:paraId="72601713" w14:textId="77777777" w:rsidR="00A22C30" w:rsidRDefault="00A22C30" w:rsidP="00A22C30">
            <w:pPr>
              <w:contextualSpacing/>
              <w:rPr>
                <w:rFonts w:ascii="Arial" w:hAnsi="Arial" w:cs="Arial"/>
              </w:rPr>
            </w:pPr>
            <w:r>
              <w:rPr>
                <w:rFonts w:ascii="Arial" w:hAnsi="Arial" w:cs="Arial"/>
              </w:rPr>
              <w:t>P7</w:t>
            </w:r>
          </w:p>
          <w:p w14:paraId="6B62384C" w14:textId="77777777" w:rsidR="00A22C30" w:rsidRDefault="00A22C30" w:rsidP="00A22C30">
            <w:pPr>
              <w:contextualSpacing/>
              <w:rPr>
                <w:rFonts w:ascii="Arial" w:hAnsi="Arial" w:cs="Arial"/>
              </w:rPr>
            </w:pPr>
          </w:p>
        </w:tc>
        <w:tc>
          <w:tcPr>
            <w:tcW w:w="4508" w:type="dxa"/>
          </w:tcPr>
          <w:p w14:paraId="6CAA5E93" w14:textId="0C176C84" w:rsidR="00A22C30" w:rsidRDefault="00A22C30" w:rsidP="00A22C30">
            <w:pPr>
              <w:contextualSpacing/>
              <w:rPr>
                <w:rFonts w:ascii="Arial" w:hAnsi="Arial" w:cs="Arial"/>
              </w:rPr>
            </w:pPr>
            <w:r w:rsidRPr="00D83405">
              <w:rPr>
                <w:rFonts w:ascii="Arial" w:hAnsi="Arial" w:cs="Arial"/>
              </w:rPr>
              <w:t>Met</w:t>
            </w:r>
          </w:p>
          <w:p w14:paraId="2CF66EE6" w14:textId="77777777" w:rsidR="00A22C30" w:rsidRDefault="00A22C30" w:rsidP="00A22C30">
            <w:pPr>
              <w:contextualSpacing/>
              <w:rPr>
                <w:rFonts w:ascii="Arial" w:hAnsi="Arial" w:cs="Arial"/>
              </w:rPr>
            </w:pPr>
          </w:p>
        </w:tc>
      </w:tr>
      <w:tr w:rsidR="00A22C30" w14:paraId="2BDC7588" w14:textId="77777777" w:rsidTr="00F51D53">
        <w:tc>
          <w:tcPr>
            <w:tcW w:w="9016" w:type="dxa"/>
            <w:gridSpan w:val="2"/>
            <w:shd w:val="clear" w:color="auto" w:fill="D9D9D9" w:themeFill="background1" w:themeFillShade="D9"/>
          </w:tcPr>
          <w:p w14:paraId="7BEC1B33" w14:textId="77777777" w:rsidR="00A22C30" w:rsidRPr="003605BF" w:rsidRDefault="00A22C30" w:rsidP="00A22C30">
            <w:pPr>
              <w:contextualSpacing/>
              <w:rPr>
                <w:rFonts w:ascii="Arial" w:hAnsi="Arial" w:cs="Arial"/>
                <w:b/>
              </w:rPr>
            </w:pPr>
            <w:r w:rsidRPr="003605BF">
              <w:rPr>
                <w:rFonts w:ascii="Arial" w:hAnsi="Arial" w:cs="Arial"/>
                <w:b/>
              </w:rPr>
              <w:t>Standard Two</w:t>
            </w:r>
          </w:p>
        </w:tc>
      </w:tr>
      <w:tr w:rsidR="00A22C30" w14:paraId="51C18A40" w14:textId="77777777" w:rsidTr="00F51D53">
        <w:tc>
          <w:tcPr>
            <w:tcW w:w="4508" w:type="dxa"/>
          </w:tcPr>
          <w:p w14:paraId="43959B94" w14:textId="1592CAB6" w:rsidR="00A22C30" w:rsidRDefault="00A22C30" w:rsidP="00A22C30">
            <w:pPr>
              <w:contextualSpacing/>
              <w:rPr>
                <w:rFonts w:ascii="Arial" w:hAnsi="Arial" w:cs="Arial"/>
              </w:rPr>
            </w:pPr>
            <w:r>
              <w:rPr>
                <w:rFonts w:ascii="Arial" w:hAnsi="Arial" w:cs="Arial"/>
              </w:rPr>
              <w:t>P8</w:t>
            </w:r>
          </w:p>
          <w:p w14:paraId="5D7E46F1" w14:textId="77777777" w:rsidR="00A22C30" w:rsidRDefault="00A22C30" w:rsidP="00A22C30">
            <w:pPr>
              <w:contextualSpacing/>
              <w:rPr>
                <w:rFonts w:ascii="Arial" w:hAnsi="Arial" w:cs="Arial"/>
              </w:rPr>
            </w:pPr>
          </w:p>
        </w:tc>
        <w:tc>
          <w:tcPr>
            <w:tcW w:w="4508" w:type="dxa"/>
          </w:tcPr>
          <w:p w14:paraId="4C8582FD" w14:textId="782D3189" w:rsidR="00A22C30" w:rsidRDefault="00A22C30" w:rsidP="00A22C30">
            <w:pPr>
              <w:contextualSpacing/>
              <w:rPr>
                <w:rFonts w:ascii="Arial" w:hAnsi="Arial" w:cs="Arial"/>
              </w:rPr>
            </w:pPr>
            <w:r w:rsidRPr="0019199D">
              <w:rPr>
                <w:rFonts w:ascii="Arial" w:hAnsi="Arial" w:cs="Arial"/>
              </w:rPr>
              <w:t>Met</w:t>
            </w:r>
          </w:p>
          <w:p w14:paraId="211F886D" w14:textId="77777777" w:rsidR="00A22C30" w:rsidRDefault="00A22C30" w:rsidP="00A22C30">
            <w:pPr>
              <w:contextualSpacing/>
              <w:rPr>
                <w:rFonts w:ascii="Arial" w:hAnsi="Arial" w:cs="Arial"/>
              </w:rPr>
            </w:pPr>
          </w:p>
        </w:tc>
      </w:tr>
      <w:tr w:rsidR="00A22C30" w14:paraId="509D683C" w14:textId="77777777" w:rsidTr="00F51D53">
        <w:tc>
          <w:tcPr>
            <w:tcW w:w="4508" w:type="dxa"/>
          </w:tcPr>
          <w:p w14:paraId="08E18C20" w14:textId="37F8998C" w:rsidR="00A22C30" w:rsidRDefault="00A22C30" w:rsidP="00A22C30">
            <w:pPr>
              <w:contextualSpacing/>
              <w:rPr>
                <w:rFonts w:ascii="Arial" w:hAnsi="Arial" w:cs="Arial"/>
              </w:rPr>
            </w:pPr>
            <w:r>
              <w:rPr>
                <w:rFonts w:ascii="Arial" w:hAnsi="Arial" w:cs="Arial"/>
              </w:rPr>
              <w:t>P9</w:t>
            </w:r>
          </w:p>
          <w:p w14:paraId="4FC9570E" w14:textId="77777777" w:rsidR="00A22C30" w:rsidRDefault="00A22C30" w:rsidP="00A22C30">
            <w:pPr>
              <w:contextualSpacing/>
              <w:rPr>
                <w:rFonts w:ascii="Arial" w:hAnsi="Arial" w:cs="Arial"/>
              </w:rPr>
            </w:pPr>
          </w:p>
        </w:tc>
        <w:tc>
          <w:tcPr>
            <w:tcW w:w="4508" w:type="dxa"/>
          </w:tcPr>
          <w:p w14:paraId="1312DD96" w14:textId="61CBAD35" w:rsidR="00A22C30" w:rsidRDefault="00A22C30" w:rsidP="00A22C30">
            <w:pPr>
              <w:contextualSpacing/>
              <w:rPr>
                <w:rFonts w:ascii="Arial" w:hAnsi="Arial" w:cs="Arial"/>
              </w:rPr>
            </w:pPr>
            <w:r>
              <w:rPr>
                <w:rFonts w:ascii="Arial" w:hAnsi="Arial" w:cs="Arial"/>
              </w:rPr>
              <w:t>Met</w:t>
            </w:r>
          </w:p>
          <w:p w14:paraId="5ABAF031" w14:textId="77777777" w:rsidR="00A22C30" w:rsidRDefault="00A22C30" w:rsidP="00A22C30">
            <w:pPr>
              <w:contextualSpacing/>
              <w:rPr>
                <w:rFonts w:ascii="Arial" w:hAnsi="Arial" w:cs="Arial"/>
              </w:rPr>
            </w:pPr>
          </w:p>
        </w:tc>
      </w:tr>
      <w:tr w:rsidR="00A22C30" w14:paraId="7762C999" w14:textId="77777777" w:rsidTr="00F51D53">
        <w:tc>
          <w:tcPr>
            <w:tcW w:w="4508" w:type="dxa"/>
          </w:tcPr>
          <w:p w14:paraId="41B496DF" w14:textId="2B8ED98E" w:rsidR="00A22C30" w:rsidRDefault="00A22C30" w:rsidP="00A22C30">
            <w:pPr>
              <w:contextualSpacing/>
              <w:rPr>
                <w:rFonts w:ascii="Arial" w:hAnsi="Arial" w:cs="Arial"/>
              </w:rPr>
            </w:pPr>
            <w:r>
              <w:rPr>
                <w:rFonts w:ascii="Arial" w:hAnsi="Arial" w:cs="Arial"/>
              </w:rPr>
              <w:t>P10</w:t>
            </w:r>
          </w:p>
          <w:p w14:paraId="480CB105" w14:textId="77777777" w:rsidR="00A22C30" w:rsidRDefault="00A22C30" w:rsidP="00A22C30">
            <w:pPr>
              <w:contextualSpacing/>
              <w:rPr>
                <w:rFonts w:ascii="Arial" w:hAnsi="Arial" w:cs="Arial"/>
              </w:rPr>
            </w:pPr>
          </w:p>
        </w:tc>
        <w:tc>
          <w:tcPr>
            <w:tcW w:w="4508" w:type="dxa"/>
          </w:tcPr>
          <w:p w14:paraId="0C2D3FE3" w14:textId="5DC0B94C" w:rsidR="00A22C30" w:rsidRDefault="00A22C30" w:rsidP="00A22C30">
            <w:pPr>
              <w:contextualSpacing/>
              <w:rPr>
                <w:rFonts w:ascii="Arial" w:hAnsi="Arial" w:cs="Arial"/>
              </w:rPr>
            </w:pPr>
            <w:r>
              <w:rPr>
                <w:rFonts w:ascii="Arial" w:hAnsi="Arial" w:cs="Arial"/>
              </w:rPr>
              <w:t>Met</w:t>
            </w:r>
          </w:p>
          <w:p w14:paraId="70E40A0F" w14:textId="77777777" w:rsidR="00A22C30" w:rsidRDefault="00A22C30" w:rsidP="00A22C30">
            <w:pPr>
              <w:contextualSpacing/>
              <w:rPr>
                <w:rFonts w:ascii="Arial" w:hAnsi="Arial" w:cs="Arial"/>
              </w:rPr>
            </w:pPr>
          </w:p>
        </w:tc>
      </w:tr>
      <w:tr w:rsidR="00A22C30" w14:paraId="10795A67" w14:textId="77777777" w:rsidTr="00F51D53">
        <w:tc>
          <w:tcPr>
            <w:tcW w:w="4508" w:type="dxa"/>
          </w:tcPr>
          <w:p w14:paraId="23DCDF01" w14:textId="6F1AF616" w:rsidR="00A22C30" w:rsidRDefault="00A22C30" w:rsidP="00A22C30">
            <w:pPr>
              <w:contextualSpacing/>
              <w:rPr>
                <w:rFonts w:ascii="Arial" w:hAnsi="Arial" w:cs="Arial"/>
              </w:rPr>
            </w:pPr>
            <w:r>
              <w:rPr>
                <w:rFonts w:ascii="Arial" w:hAnsi="Arial" w:cs="Arial"/>
              </w:rPr>
              <w:t>P11</w:t>
            </w:r>
          </w:p>
          <w:p w14:paraId="6B63FCE8" w14:textId="77777777" w:rsidR="00A22C30" w:rsidRDefault="00A22C30" w:rsidP="00A22C30">
            <w:pPr>
              <w:contextualSpacing/>
              <w:rPr>
                <w:rFonts w:ascii="Arial" w:hAnsi="Arial" w:cs="Arial"/>
              </w:rPr>
            </w:pPr>
          </w:p>
        </w:tc>
        <w:tc>
          <w:tcPr>
            <w:tcW w:w="4508" w:type="dxa"/>
          </w:tcPr>
          <w:p w14:paraId="1668478F" w14:textId="78FA2AC6" w:rsidR="00A22C30" w:rsidRDefault="00A22C30" w:rsidP="00A22C30">
            <w:pPr>
              <w:contextualSpacing/>
              <w:rPr>
                <w:rFonts w:ascii="Arial" w:hAnsi="Arial" w:cs="Arial"/>
              </w:rPr>
            </w:pPr>
            <w:r>
              <w:rPr>
                <w:rFonts w:ascii="Arial" w:hAnsi="Arial" w:cs="Arial"/>
              </w:rPr>
              <w:t>Met</w:t>
            </w:r>
          </w:p>
          <w:p w14:paraId="3669B609" w14:textId="77777777" w:rsidR="00A22C30" w:rsidRDefault="00A22C30" w:rsidP="00A22C30">
            <w:pPr>
              <w:contextualSpacing/>
              <w:rPr>
                <w:rFonts w:ascii="Arial" w:hAnsi="Arial" w:cs="Arial"/>
              </w:rPr>
            </w:pPr>
          </w:p>
        </w:tc>
      </w:tr>
      <w:tr w:rsidR="00A22C30" w14:paraId="4FF6324D" w14:textId="77777777" w:rsidTr="00F51D53">
        <w:tc>
          <w:tcPr>
            <w:tcW w:w="9016" w:type="dxa"/>
            <w:gridSpan w:val="2"/>
            <w:shd w:val="clear" w:color="auto" w:fill="D9D9D9" w:themeFill="background1" w:themeFillShade="D9"/>
          </w:tcPr>
          <w:p w14:paraId="1A8DE0CF" w14:textId="77777777" w:rsidR="00A22C30" w:rsidRPr="003605BF" w:rsidRDefault="00A22C30" w:rsidP="00A22C30">
            <w:pPr>
              <w:contextualSpacing/>
              <w:rPr>
                <w:rFonts w:ascii="Arial" w:hAnsi="Arial" w:cs="Arial"/>
                <w:b/>
              </w:rPr>
            </w:pPr>
            <w:r w:rsidRPr="003605BF">
              <w:rPr>
                <w:rFonts w:ascii="Arial" w:hAnsi="Arial" w:cs="Arial"/>
                <w:b/>
              </w:rPr>
              <w:t>Standard Three</w:t>
            </w:r>
          </w:p>
        </w:tc>
      </w:tr>
      <w:tr w:rsidR="00A22C30" w14:paraId="09833B2C" w14:textId="77777777" w:rsidTr="00F51D53">
        <w:tc>
          <w:tcPr>
            <w:tcW w:w="4508" w:type="dxa"/>
          </w:tcPr>
          <w:p w14:paraId="32F48A4B" w14:textId="4B8BCC40" w:rsidR="00A22C30" w:rsidRDefault="00A22C30" w:rsidP="00A22C30">
            <w:pPr>
              <w:contextualSpacing/>
              <w:rPr>
                <w:rFonts w:ascii="Arial" w:hAnsi="Arial" w:cs="Arial"/>
              </w:rPr>
            </w:pPr>
            <w:r>
              <w:rPr>
                <w:rFonts w:ascii="Arial" w:hAnsi="Arial" w:cs="Arial"/>
              </w:rPr>
              <w:t>P12</w:t>
            </w:r>
          </w:p>
          <w:p w14:paraId="6A6A1C4F" w14:textId="77777777" w:rsidR="00A22C30" w:rsidRDefault="00A22C30" w:rsidP="00A22C30">
            <w:pPr>
              <w:contextualSpacing/>
              <w:rPr>
                <w:rFonts w:ascii="Arial" w:hAnsi="Arial" w:cs="Arial"/>
              </w:rPr>
            </w:pPr>
          </w:p>
        </w:tc>
        <w:tc>
          <w:tcPr>
            <w:tcW w:w="4508" w:type="dxa"/>
          </w:tcPr>
          <w:p w14:paraId="70DCEE9D" w14:textId="02497FDB" w:rsidR="00A22C30" w:rsidRDefault="00A22C30" w:rsidP="00A22C30">
            <w:pPr>
              <w:contextualSpacing/>
              <w:rPr>
                <w:rFonts w:ascii="Arial" w:hAnsi="Arial" w:cs="Arial"/>
              </w:rPr>
            </w:pPr>
            <w:r w:rsidRPr="00166ACB">
              <w:rPr>
                <w:rFonts w:ascii="Arial" w:hAnsi="Arial" w:cs="Arial"/>
              </w:rPr>
              <w:t>Met</w:t>
            </w:r>
          </w:p>
          <w:p w14:paraId="6B2BC721" w14:textId="77777777" w:rsidR="00A22C30" w:rsidRPr="00BE4BB4" w:rsidRDefault="00A22C30" w:rsidP="00A22C30">
            <w:pPr>
              <w:contextualSpacing/>
              <w:rPr>
                <w:rFonts w:ascii="Arial" w:hAnsi="Arial" w:cs="Arial"/>
              </w:rPr>
            </w:pPr>
          </w:p>
        </w:tc>
      </w:tr>
      <w:tr w:rsidR="00A22C30" w14:paraId="725088E4" w14:textId="77777777" w:rsidTr="00F51D53">
        <w:tc>
          <w:tcPr>
            <w:tcW w:w="4508" w:type="dxa"/>
          </w:tcPr>
          <w:p w14:paraId="0A81B5F8" w14:textId="7FFDCCCD" w:rsidR="00A22C30" w:rsidRDefault="00A22C30" w:rsidP="00A22C30">
            <w:pPr>
              <w:contextualSpacing/>
              <w:rPr>
                <w:rFonts w:ascii="Arial" w:hAnsi="Arial" w:cs="Arial"/>
              </w:rPr>
            </w:pPr>
            <w:r>
              <w:rPr>
                <w:rFonts w:ascii="Arial" w:hAnsi="Arial" w:cs="Arial"/>
              </w:rPr>
              <w:t>P13</w:t>
            </w:r>
          </w:p>
          <w:p w14:paraId="2D2E9A4D" w14:textId="77777777" w:rsidR="00A22C30" w:rsidRDefault="00A22C30" w:rsidP="00A22C30">
            <w:pPr>
              <w:contextualSpacing/>
              <w:rPr>
                <w:rFonts w:ascii="Arial" w:hAnsi="Arial" w:cs="Arial"/>
              </w:rPr>
            </w:pPr>
          </w:p>
        </w:tc>
        <w:tc>
          <w:tcPr>
            <w:tcW w:w="4508" w:type="dxa"/>
          </w:tcPr>
          <w:p w14:paraId="11724CAE" w14:textId="4F6E03CB" w:rsidR="00A22C30" w:rsidRDefault="00A22C30" w:rsidP="00A22C30">
            <w:pPr>
              <w:contextualSpacing/>
              <w:rPr>
                <w:rFonts w:ascii="Arial" w:hAnsi="Arial" w:cs="Arial"/>
              </w:rPr>
            </w:pPr>
            <w:r>
              <w:rPr>
                <w:rFonts w:ascii="Arial" w:hAnsi="Arial" w:cs="Arial"/>
              </w:rPr>
              <w:t>Met</w:t>
            </w:r>
          </w:p>
          <w:p w14:paraId="55C143BD" w14:textId="77777777" w:rsidR="00A22C30" w:rsidRPr="00BE4BB4" w:rsidRDefault="00A22C30" w:rsidP="00A22C30">
            <w:pPr>
              <w:contextualSpacing/>
              <w:rPr>
                <w:rFonts w:ascii="Arial" w:hAnsi="Arial" w:cs="Arial"/>
              </w:rPr>
            </w:pPr>
          </w:p>
        </w:tc>
      </w:tr>
      <w:tr w:rsidR="00A22C30" w14:paraId="16D3242D" w14:textId="77777777" w:rsidTr="00F51D53">
        <w:tc>
          <w:tcPr>
            <w:tcW w:w="4508" w:type="dxa"/>
          </w:tcPr>
          <w:p w14:paraId="16A08DDD" w14:textId="09C3BC64" w:rsidR="00A22C30" w:rsidRDefault="00A22C30" w:rsidP="00A22C30">
            <w:pPr>
              <w:contextualSpacing/>
              <w:rPr>
                <w:rFonts w:ascii="Arial" w:hAnsi="Arial" w:cs="Arial"/>
              </w:rPr>
            </w:pPr>
            <w:r>
              <w:rPr>
                <w:rFonts w:ascii="Arial" w:hAnsi="Arial" w:cs="Arial"/>
              </w:rPr>
              <w:t>P14</w:t>
            </w:r>
          </w:p>
          <w:p w14:paraId="286F14A7" w14:textId="77777777" w:rsidR="00A22C30" w:rsidRDefault="00A22C30" w:rsidP="00A22C30">
            <w:pPr>
              <w:contextualSpacing/>
              <w:rPr>
                <w:rFonts w:ascii="Arial" w:hAnsi="Arial" w:cs="Arial"/>
              </w:rPr>
            </w:pPr>
          </w:p>
        </w:tc>
        <w:tc>
          <w:tcPr>
            <w:tcW w:w="4508" w:type="dxa"/>
          </w:tcPr>
          <w:p w14:paraId="24C710E5" w14:textId="18AF5445" w:rsidR="00A22C30" w:rsidRDefault="00A22C30" w:rsidP="00A22C30">
            <w:pPr>
              <w:contextualSpacing/>
              <w:rPr>
                <w:rFonts w:ascii="Arial" w:hAnsi="Arial" w:cs="Arial"/>
              </w:rPr>
            </w:pPr>
            <w:r w:rsidRPr="00DC4E82">
              <w:rPr>
                <w:rFonts w:ascii="Arial" w:hAnsi="Arial" w:cs="Arial"/>
              </w:rPr>
              <w:t>Met</w:t>
            </w:r>
          </w:p>
          <w:p w14:paraId="42C1908C" w14:textId="77777777" w:rsidR="00A22C30" w:rsidRDefault="00A22C30" w:rsidP="00A22C30">
            <w:pPr>
              <w:contextualSpacing/>
              <w:rPr>
                <w:rFonts w:ascii="Arial" w:hAnsi="Arial" w:cs="Arial"/>
              </w:rPr>
            </w:pPr>
          </w:p>
        </w:tc>
      </w:tr>
      <w:tr w:rsidR="00A22C30" w14:paraId="77A69CC2" w14:textId="77777777" w:rsidTr="00F51D53">
        <w:tc>
          <w:tcPr>
            <w:tcW w:w="4508" w:type="dxa"/>
          </w:tcPr>
          <w:p w14:paraId="3D1F999B" w14:textId="00C2FE9B" w:rsidR="00A22C30" w:rsidRDefault="00A22C30" w:rsidP="00A22C30">
            <w:pPr>
              <w:contextualSpacing/>
              <w:rPr>
                <w:rFonts w:ascii="Arial" w:hAnsi="Arial" w:cs="Arial"/>
              </w:rPr>
            </w:pPr>
            <w:r>
              <w:rPr>
                <w:rFonts w:ascii="Arial" w:hAnsi="Arial" w:cs="Arial"/>
              </w:rPr>
              <w:t>P15</w:t>
            </w:r>
          </w:p>
          <w:p w14:paraId="00549F30" w14:textId="77777777" w:rsidR="00A22C30" w:rsidRDefault="00A22C30" w:rsidP="00A22C30">
            <w:pPr>
              <w:contextualSpacing/>
              <w:rPr>
                <w:rFonts w:ascii="Arial" w:hAnsi="Arial" w:cs="Arial"/>
              </w:rPr>
            </w:pPr>
          </w:p>
        </w:tc>
        <w:tc>
          <w:tcPr>
            <w:tcW w:w="4508" w:type="dxa"/>
          </w:tcPr>
          <w:p w14:paraId="221D7681" w14:textId="4A94559E" w:rsidR="00A22C30" w:rsidRDefault="00A22C30" w:rsidP="00A22C30">
            <w:pPr>
              <w:contextualSpacing/>
              <w:rPr>
                <w:rFonts w:ascii="Arial" w:hAnsi="Arial" w:cs="Arial"/>
              </w:rPr>
            </w:pPr>
            <w:r>
              <w:rPr>
                <w:rFonts w:ascii="Arial" w:hAnsi="Arial" w:cs="Arial"/>
              </w:rPr>
              <w:t>Met</w:t>
            </w:r>
          </w:p>
          <w:p w14:paraId="3FF36641" w14:textId="77777777" w:rsidR="00A22C30" w:rsidRDefault="00A22C30" w:rsidP="00A22C30">
            <w:pPr>
              <w:contextualSpacing/>
              <w:rPr>
                <w:rFonts w:ascii="Arial" w:hAnsi="Arial" w:cs="Arial"/>
              </w:rPr>
            </w:pPr>
          </w:p>
        </w:tc>
      </w:tr>
      <w:tr w:rsidR="00A22C30" w14:paraId="253EA0A8" w14:textId="77777777" w:rsidTr="00F51D53">
        <w:tc>
          <w:tcPr>
            <w:tcW w:w="4508" w:type="dxa"/>
          </w:tcPr>
          <w:p w14:paraId="4DD8B3D0" w14:textId="5E61480B" w:rsidR="00A22C30" w:rsidRDefault="00A22C30" w:rsidP="00A22C30">
            <w:pPr>
              <w:contextualSpacing/>
              <w:rPr>
                <w:rFonts w:ascii="Arial" w:hAnsi="Arial" w:cs="Arial"/>
              </w:rPr>
            </w:pPr>
            <w:r>
              <w:rPr>
                <w:rFonts w:ascii="Arial" w:hAnsi="Arial" w:cs="Arial"/>
              </w:rPr>
              <w:t>P16</w:t>
            </w:r>
          </w:p>
          <w:p w14:paraId="0D771DCA" w14:textId="77777777" w:rsidR="00A22C30" w:rsidRDefault="00A22C30" w:rsidP="00A22C30">
            <w:pPr>
              <w:contextualSpacing/>
              <w:rPr>
                <w:rFonts w:ascii="Arial" w:hAnsi="Arial" w:cs="Arial"/>
              </w:rPr>
            </w:pPr>
          </w:p>
        </w:tc>
        <w:tc>
          <w:tcPr>
            <w:tcW w:w="4508" w:type="dxa"/>
          </w:tcPr>
          <w:p w14:paraId="2E7F18AA" w14:textId="37A56431" w:rsidR="00A22C30" w:rsidRDefault="00A22C30" w:rsidP="00A22C30">
            <w:pPr>
              <w:contextualSpacing/>
              <w:rPr>
                <w:rFonts w:ascii="Arial" w:hAnsi="Arial" w:cs="Arial"/>
              </w:rPr>
            </w:pPr>
            <w:r>
              <w:rPr>
                <w:rFonts w:ascii="Arial" w:hAnsi="Arial" w:cs="Arial"/>
              </w:rPr>
              <w:t>Met</w:t>
            </w:r>
          </w:p>
          <w:p w14:paraId="001E4B62" w14:textId="77777777" w:rsidR="00A22C30" w:rsidRDefault="00A22C30" w:rsidP="00A22C30">
            <w:pPr>
              <w:contextualSpacing/>
              <w:rPr>
                <w:rFonts w:ascii="Arial" w:hAnsi="Arial" w:cs="Arial"/>
              </w:rPr>
            </w:pPr>
          </w:p>
        </w:tc>
      </w:tr>
      <w:tr w:rsidR="00A22C30" w14:paraId="0B2B94E2" w14:textId="77777777" w:rsidTr="00F51D53">
        <w:tc>
          <w:tcPr>
            <w:tcW w:w="4508" w:type="dxa"/>
          </w:tcPr>
          <w:p w14:paraId="735CC50A" w14:textId="5FDF15CB" w:rsidR="00A22C30" w:rsidRDefault="00A22C30" w:rsidP="00A22C30">
            <w:pPr>
              <w:contextualSpacing/>
              <w:rPr>
                <w:rFonts w:ascii="Arial" w:hAnsi="Arial" w:cs="Arial"/>
              </w:rPr>
            </w:pPr>
            <w:r>
              <w:rPr>
                <w:rFonts w:ascii="Arial" w:hAnsi="Arial" w:cs="Arial"/>
              </w:rPr>
              <w:t>P17</w:t>
            </w:r>
          </w:p>
        </w:tc>
        <w:tc>
          <w:tcPr>
            <w:tcW w:w="4508" w:type="dxa"/>
          </w:tcPr>
          <w:p w14:paraId="5E0620C3" w14:textId="7CCA899A" w:rsidR="00A22C30" w:rsidRDefault="00A22C30" w:rsidP="00A22C30">
            <w:pPr>
              <w:contextualSpacing/>
              <w:rPr>
                <w:rFonts w:ascii="Arial" w:hAnsi="Arial" w:cs="Arial"/>
              </w:rPr>
            </w:pPr>
            <w:r>
              <w:rPr>
                <w:rFonts w:ascii="Arial" w:hAnsi="Arial" w:cs="Arial"/>
              </w:rPr>
              <w:t>Met</w:t>
            </w:r>
          </w:p>
          <w:p w14:paraId="1F11DBD7" w14:textId="77777777" w:rsidR="00A22C30" w:rsidRDefault="00A22C30" w:rsidP="00A22C30">
            <w:pPr>
              <w:contextualSpacing/>
              <w:rPr>
                <w:rFonts w:ascii="Arial" w:hAnsi="Arial" w:cs="Arial"/>
              </w:rPr>
            </w:pPr>
          </w:p>
        </w:tc>
      </w:tr>
      <w:tr w:rsidR="00A22C30" w14:paraId="0D1D991C" w14:textId="77777777" w:rsidTr="00F51D53">
        <w:tc>
          <w:tcPr>
            <w:tcW w:w="4508" w:type="dxa"/>
          </w:tcPr>
          <w:p w14:paraId="21FB6A69" w14:textId="303910CA" w:rsidR="00A22C30" w:rsidRDefault="00A22C30" w:rsidP="00A22C30">
            <w:pPr>
              <w:contextualSpacing/>
              <w:rPr>
                <w:rFonts w:ascii="Arial" w:hAnsi="Arial" w:cs="Arial"/>
              </w:rPr>
            </w:pPr>
            <w:r>
              <w:rPr>
                <w:rFonts w:ascii="Arial" w:hAnsi="Arial" w:cs="Arial"/>
              </w:rPr>
              <w:t>P18</w:t>
            </w:r>
          </w:p>
          <w:p w14:paraId="452DFC7C" w14:textId="77777777" w:rsidR="00A22C30" w:rsidRDefault="00A22C30" w:rsidP="00A22C30">
            <w:pPr>
              <w:contextualSpacing/>
              <w:rPr>
                <w:rFonts w:ascii="Arial" w:hAnsi="Arial" w:cs="Arial"/>
              </w:rPr>
            </w:pPr>
          </w:p>
        </w:tc>
        <w:tc>
          <w:tcPr>
            <w:tcW w:w="4508" w:type="dxa"/>
          </w:tcPr>
          <w:p w14:paraId="4F6BB7E0" w14:textId="026590EC" w:rsidR="00A22C30" w:rsidRDefault="00A22C30" w:rsidP="00A22C30">
            <w:pPr>
              <w:contextualSpacing/>
              <w:rPr>
                <w:rFonts w:ascii="Arial" w:hAnsi="Arial" w:cs="Arial"/>
              </w:rPr>
            </w:pPr>
            <w:r w:rsidRPr="00E66AEA">
              <w:rPr>
                <w:rFonts w:ascii="Arial" w:hAnsi="Arial" w:cs="Arial"/>
              </w:rPr>
              <w:t>Partly Met</w:t>
            </w:r>
          </w:p>
          <w:p w14:paraId="68CC9FDC" w14:textId="77777777" w:rsidR="00A22C30" w:rsidRDefault="00A22C30" w:rsidP="00A22C30">
            <w:pPr>
              <w:contextualSpacing/>
              <w:rPr>
                <w:rFonts w:ascii="Arial" w:hAnsi="Arial" w:cs="Arial"/>
              </w:rPr>
            </w:pPr>
          </w:p>
        </w:tc>
      </w:tr>
      <w:tr w:rsidR="00A22C30" w14:paraId="7EA6024C" w14:textId="77777777" w:rsidTr="00F51D53">
        <w:tc>
          <w:tcPr>
            <w:tcW w:w="4508" w:type="dxa"/>
          </w:tcPr>
          <w:p w14:paraId="43878703" w14:textId="757B6300" w:rsidR="00A22C30" w:rsidRDefault="00A22C30" w:rsidP="00A22C30">
            <w:pPr>
              <w:contextualSpacing/>
              <w:rPr>
                <w:rFonts w:ascii="Arial" w:hAnsi="Arial" w:cs="Arial"/>
              </w:rPr>
            </w:pPr>
            <w:r>
              <w:rPr>
                <w:rFonts w:ascii="Arial" w:hAnsi="Arial" w:cs="Arial"/>
              </w:rPr>
              <w:t>P19</w:t>
            </w:r>
          </w:p>
          <w:p w14:paraId="41534EA3" w14:textId="77777777" w:rsidR="00A22C30" w:rsidRDefault="00A22C30" w:rsidP="00A22C30">
            <w:pPr>
              <w:contextualSpacing/>
              <w:rPr>
                <w:rFonts w:ascii="Arial" w:hAnsi="Arial" w:cs="Arial"/>
              </w:rPr>
            </w:pPr>
          </w:p>
        </w:tc>
        <w:tc>
          <w:tcPr>
            <w:tcW w:w="4508" w:type="dxa"/>
          </w:tcPr>
          <w:p w14:paraId="098E2226" w14:textId="13818593" w:rsidR="00A22C30" w:rsidRDefault="00A22C30" w:rsidP="00A22C30">
            <w:pPr>
              <w:contextualSpacing/>
              <w:rPr>
                <w:rFonts w:ascii="Arial" w:hAnsi="Arial" w:cs="Arial"/>
              </w:rPr>
            </w:pPr>
            <w:r>
              <w:rPr>
                <w:rFonts w:ascii="Arial" w:hAnsi="Arial" w:cs="Arial"/>
              </w:rPr>
              <w:t>Met</w:t>
            </w:r>
          </w:p>
          <w:p w14:paraId="33FCA72C" w14:textId="17393AB6" w:rsidR="00A22C30" w:rsidRPr="00F618A6" w:rsidRDefault="00A22C30" w:rsidP="00A22C30">
            <w:pPr>
              <w:contextualSpacing/>
              <w:rPr>
                <w:rFonts w:ascii="Arial" w:hAnsi="Arial" w:cs="Arial"/>
              </w:rPr>
            </w:pPr>
          </w:p>
        </w:tc>
      </w:tr>
      <w:tr w:rsidR="00A22C30" w14:paraId="33779A3D" w14:textId="77777777" w:rsidTr="00F51D53">
        <w:tc>
          <w:tcPr>
            <w:tcW w:w="4508" w:type="dxa"/>
          </w:tcPr>
          <w:p w14:paraId="0859F46E" w14:textId="77777777" w:rsidR="00A22C30" w:rsidRDefault="00A22C30" w:rsidP="00A22C30">
            <w:pPr>
              <w:contextualSpacing/>
              <w:rPr>
                <w:rFonts w:ascii="Arial" w:hAnsi="Arial" w:cs="Arial"/>
              </w:rPr>
            </w:pPr>
            <w:r>
              <w:rPr>
                <w:rFonts w:ascii="Arial" w:hAnsi="Arial" w:cs="Arial"/>
              </w:rPr>
              <w:t>P20</w:t>
            </w:r>
          </w:p>
          <w:p w14:paraId="0D1C8E88" w14:textId="13CBB135" w:rsidR="00A22C30" w:rsidRDefault="00A22C30" w:rsidP="00A22C30">
            <w:pPr>
              <w:contextualSpacing/>
              <w:rPr>
                <w:rFonts w:ascii="Arial" w:hAnsi="Arial" w:cs="Arial"/>
              </w:rPr>
            </w:pPr>
          </w:p>
        </w:tc>
        <w:tc>
          <w:tcPr>
            <w:tcW w:w="4508" w:type="dxa"/>
          </w:tcPr>
          <w:p w14:paraId="1B94B886" w14:textId="78D25FD5" w:rsidR="00A22C30" w:rsidRPr="00F618A6" w:rsidRDefault="00A22C30" w:rsidP="00A22C30">
            <w:pPr>
              <w:contextualSpacing/>
              <w:rPr>
                <w:rFonts w:ascii="Arial" w:hAnsi="Arial" w:cs="Arial"/>
              </w:rPr>
            </w:pPr>
            <w:r w:rsidRPr="0046124A">
              <w:rPr>
                <w:rFonts w:ascii="Arial" w:hAnsi="Arial" w:cs="Arial"/>
              </w:rPr>
              <w:t>Met</w:t>
            </w:r>
          </w:p>
        </w:tc>
      </w:tr>
    </w:tbl>
    <w:p w14:paraId="41B30A1B" w14:textId="77777777" w:rsidR="00E2148E" w:rsidRDefault="00E2148E" w:rsidP="00D6729D">
      <w:pPr>
        <w:spacing w:line="240" w:lineRule="auto"/>
        <w:contextualSpacing/>
        <w:rPr>
          <w:rFonts w:ascii="Arial" w:hAnsi="Arial" w:cs="Arial"/>
        </w:rPr>
      </w:pPr>
    </w:p>
    <w:p w14:paraId="0C978840" w14:textId="5A340186" w:rsidR="00831FC8" w:rsidRDefault="00831FC8" w:rsidP="00D6729D">
      <w:pPr>
        <w:spacing w:line="240" w:lineRule="auto"/>
        <w:contextualSpacing/>
        <w:rPr>
          <w:rFonts w:ascii="Arial" w:hAnsi="Arial" w:cs="Arial"/>
        </w:rPr>
      </w:pPr>
    </w:p>
    <w:p w14:paraId="182B4E4B" w14:textId="50675A34" w:rsidR="001E00FC" w:rsidRDefault="001E00FC" w:rsidP="00D6729D">
      <w:pPr>
        <w:spacing w:line="240" w:lineRule="auto"/>
        <w:contextualSpacing/>
        <w:rPr>
          <w:rFonts w:ascii="Arial" w:hAnsi="Arial" w:cs="Arial"/>
        </w:rPr>
      </w:pPr>
    </w:p>
    <w:p w14:paraId="27FC5742" w14:textId="16AC34B4" w:rsidR="001E00FC" w:rsidRDefault="001E00FC" w:rsidP="00D6729D">
      <w:pPr>
        <w:spacing w:line="240" w:lineRule="auto"/>
        <w:contextualSpacing/>
        <w:rPr>
          <w:rFonts w:ascii="Arial" w:hAnsi="Arial" w:cs="Arial"/>
        </w:rPr>
      </w:pPr>
    </w:p>
    <w:p w14:paraId="676E99EE" w14:textId="60E5AAEE" w:rsidR="001E00FC" w:rsidRDefault="001E00FC" w:rsidP="00D6729D">
      <w:pPr>
        <w:spacing w:line="240" w:lineRule="auto"/>
        <w:contextualSpacing/>
        <w:rPr>
          <w:rFonts w:ascii="Arial" w:hAnsi="Arial" w:cs="Arial"/>
        </w:rPr>
      </w:pPr>
    </w:p>
    <w:p w14:paraId="65DB5788" w14:textId="2AB9EBE7" w:rsidR="00A22C30" w:rsidRDefault="00A22C30" w:rsidP="00D6729D">
      <w:pPr>
        <w:spacing w:line="240" w:lineRule="auto"/>
        <w:contextualSpacing/>
        <w:rPr>
          <w:rFonts w:ascii="Arial" w:hAnsi="Arial" w:cs="Arial"/>
        </w:rPr>
      </w:pPr>
    </w:p>
    <w:p w14:paraId="0AA7B198" w14:textId="2668D1BE" w:rsidR="001E00FC" w:rsidRDefault="001E00FC" w:rsidP="00D6729D">
      <w:pPr>
        <w:spacing w:line="240" w:lineRule="auto"/>
        <w:contextualSpacing/>
        <w:rPr>
          <w:rFonts w:ascii="Arial" w:hAnsi="Arial" w:cs="Arial"/>
        </w:rPr>
      </w:pPr>
    </w:p>
    <w:p w14:paraId="1E432D6F" w14:textId="77777777" w:rsidR="00A22C30" w:rsidRDefault="00A22C30" w:rsidP="00D6729D">
      <w:pPr>
        <w:spacing w:line="240" w:lineRule="auto"/>
        <w:contextualSpacing/>
        <w:rPr>
          <w:rFonts w:ascii="Arial" w:hAnsi="Arial" w:cs="Arial"/>
        </w:rPr>
      </w:pPr>
    </w:p>
    <w:p w14:paraId="7378609D" w14:textId="6C1F4D4F" w:rsidR="001E00FC" w:rsidRDefault="001E00FC" w:rsidP="00D6729D">
      <w:pPr>
        <w:spacing w:line="240" w:lineRule="auto"/>
        <w:contextualSpacing/>
        <w:rPr>
          <w:rFonts w:ascii="Arial" w:hAnsi="Arial" w:cs="Arial"/>
        </w:rPr>
      </w:pPr>
    </w:p>
    <w:tbl>
      <w:tblPr>
        <w:tblStyle w:val="TableGrid"/>
        <w:tblW w:w="9464" w:type="dxa"/>
        <w:tblLayout w:type="fixed"/>
        <w:tblLook w:val="04A0" w:firstRow="1" w:lastRow="0" w:firstColumn="1" w:lastColumn="0" w:noHBand="0" w:noVBand="1"/>
      </w:tblPr>
      <w:tblGrid>
        <w:gridCol w:w="9464"/>
      </w:tblGrid>
      <w:tr w:rsidR="00E2148E" w:rsidRPr="00E50412" w14:paraId="694888EF" w14:textId="77777777" w:rsidTr="00F51D53">
        <w:tc>
          <w:tcPr>
            <w:tcW w:w="9464" w:type="dxa"/>
            <w:shd w:val="clear" w:color="auto" w:fill="2F5496" w:themeFill="accent1" w:themeFillShade="BF"/>
          </w:tcPr>
          <w:p w14:paraId="6C64922C" w14:textId="77777777" w:rsidR="00E2148E" w:rsidRPr="007D1E4E" w:rsidRDefault="009755BA" w:rsidP="00D6729D">
            <w:pPr>
              <w:contextualSpacing/>
              <w:rPr>
                <w:rFonts w:ascii="Arial" w:hAnsi="Arial" w:cs="Arial"/>
                <w:color w:val="FFFFFF" w:themeColor="background1"/>
              </w:rPr>
            </w:pPr>
            <w:r w:rsidRPr="00BF65B7">
              <w:rPr>
                <w:rFonts w:ascii="Arial" w:hAnsi="Arial" w:cs="Arial"/>
                <w:b/>
                <w:color w:val="FFFFFF" w:themeColor="background1"/>
              </w:rPr>
              <w:t xml:space="preserve">STANDARD 1 – PROTECTING PATIENTS. Providers must be aware of their duty to protect the public. Providers must ensure that patient safety is paramount and care of patients is of </w:t>
            </w:r>
            <w:r>
              <w:rPr>
                <w:rFonts w:ascii="Arial" w:hAnsi="Arial" w:cs="Arial"/>
                <w:b/>
                <w:color w:val="FFFFFF" w:themeColor="background1"/>
              </w:rPr>
              <w:t>a correct and justifiable</w:t>
            </w:r>
            <w:r w:rsidRPr="00BF65B7">
              <w:rPr>
                <w:rFonts w:ascii="Arial" w:hAnsi="Arial" w:cs="Arial"/>
                <w:b/>
                <w:color w:val="FFFFFF" w:themeColor="background1"/>
              </w:rPr>
              <w:t xml:space="preserve"> standard. Any risk to the safety of patients and their care by specialty trainees must be minimised.</w:t>
            </w:r>
          </w:p>
        </w:tc>
      </w:tr>
      <w:tr w:rsidR="00E2148E" w:rsidRPr="00E50412" w14:paraId="4D507885" w14:textId="77777777" w:rsidTr="00F51D53">
        <w:trPr>
          <w:trHeight w:val="270"/>
        </w:trPr>
        <w:tc>
          <w:tcPr>
            <w:tcW w:w="9464" w:type="dxa"/>
          </w:tcPr>
          <w:p w14:paraId="1EBA28D8" w14:textId="77777777" w:rsidR="00E2148E" w:rsidRDefault="00E2148E" w:rsidP="00D6729D">
            <w:pPr>
              <w:contextualSpacing/>
              <w:rPr>
                <w:rFonts w:ascii="Arial" w:eastAsia="Calibri" w:hAnsi="Arial" w:cs="Arial"/>
                <w:b/>
                <w:color w:val="000000" w:themeColor="text1"/>
              </w:rPr>
            </w:pPr>
          </w:p>
          <w:p w14:paraId="66BDAF26" w14:textId="242CFC62" w:rsidR="009755BA" w:rsidRDefault="005D5820" w:rsidP="00D6729D">
            <w:pPr>
              <w:contextualSpacing/>
              <w:rPr>
                <w:rFonts w:ascii="Arial" w:eastAsia="Calibri" w:hAnsi="Arial" w:cs="Arial"/>
                <w:b/>
                <w:iCs/>
                <w:color w:val="000000" w:themeColor="text1"/>
              </w:rPr>
            </w:pPr>
            <w:r>
              <w:rPr>
                <w:rFonts w:ascii="Arial" w:eastAsia="Calibri" w:hAnsi="Arial" w:cs="Arial"/>
                <w:b/>
                <w:color w:val="000000" w:themeColor="text1"/>
              </w:rPr>
              <w:t>P</w:t>
            </w:r>
            <w:r w:rsidR="00E2148E">
              <w:rPr>
                <w:rFonts w:ascii="Arial" w:eastAsia="Calibri" w:hAnsi="Arial" w:cs="Arial"/>
                <w:b/>
                <w:color w:val="000000" w:themeColor="text1"/>
              </w:rPr>
              <w:t>1</w:t>
            </w:r>
            <w:r w:rsidR="00E2148E" w:rsidRPr="009755BA">
              <w:rPr>
                <w:rFonts w:ascii="Arial" w:eastAsia="Calibri" w:hAnsi="Arial" w:cs="Arial"/>
                <w:b/>
                <w:color w:val="000000" w:themeColor="text1"/>
              </w:rPr>
              <w:t xml:space="preserve">: </w:t>
            </w:r>
            <w:r w:rsidR="009755BA" w:rsidRPr="009755BA">
              <w:rPr>
                <w:rFonts w:ascii="Arial" w:eastAsia="Calibri" w:hAnsi="Arial" w:cs="Arial"/>
                <w:b/>
                <w:i/>
                <w:color w:val="000000" w:themeColor="text1"/>
              </w:rPr>
              <w:t xml:space="preserve"> </w:t>
            </w:r>
            <w:r w:rsidR="009755BA" w:rsidRPr="009755BA">
              <w:rPr>
                <w:rFonts w:ascii="Arial" w:eastAsia="Calibri" w:hAnsi="Arial" w:cs="Arial"/>
                <w:b/>
                <w:iCs/>
                <w:color w:val="000000" w:themeColor="text1"/>
              </w:rPr>
              <w:t xml:space="preserve">For clinical procedures, the programme provider should be assured that the specialty trainee is safe to treat patients in the relevant skills at the levels required prior to treating patients. </w:t>
            </w:r>
            <w:r w:rsidR="00DB4AFF">
              <w:rPr>
                <w:rFonts w:ascii="Arial" w:eastAsia="Calibri" w:hAnsi="Arial" w:cs="Arial"/>
                <w:b/>
                <w:iCs/>
                <w:color w:val="000000" w:themeColor="text1"/>
              </w:rPr>
              <w:t>(</w:t>
            </w:r>
            <w:r w:rsidR="009755BA" w:rsidRPr="0004225B">
              <w:rPr>
                <w:rFonts w:ascii="Arial" w:eastAsia="Calibri" w:hAnsi="Arial" w:cs="Arial"/>
                <w:b/>
                <w:iCs/>
                <w:color w:val="000000" w:themeColor="text1"/>
              </w:rPr>
              <w:t xml:space="preserve">Requirement </w:t>
            </w:r>
            <w:r w:rsidR="00CA2AFC" w:rsidRPr="0004225B">
              <w:rPr>
                <w:rFonts w:ascii="Arial" w:eastAsia="Calibri" w:hAnsi="Arial" w:cs="Arial"/>
                <w:b/>
                <w:iCs/>
                <w:color w:val="000000" w:themeColor="text1"/>
              </w:rPr>
              <w:t>M</w:t>
            </w:r>
            <w:r w:rsidR="009755BA" w:rsidRPr="0004225B">
              <w:rPr>
                <w:rFonts w:ascii="Arial" w:eastAsia="Calibri" w:hAnsi="Arial" w:cs="Arial"/>
                <w:b/>
                <w:iCs/>
                <w:color w:val="000000" w:themeColor="text1"/>
              </w:rPr>
              <w:t>et</w:t>
            </w:r>
            <w:r w:rsidR="00DB4AFF" w:rsidRPr="0004225B">
              <w:rPr>
                <w:rFonts w:ascii="Arial" w:eastAsia="Calibri" w:hAnsi="Arial" w:cs="Arial"/>
                <w:b/>
                <w:iCs/>
                <w:color w:val="000000" w:themeColor="text1"/>
              </w:rPr>
              <w:t>)</w:t>
            </w:r>
            <w:r w:rsidR="009755BA" w:rsidRPr="0004225B">
              <w:rPr>
                <w:rFonts w:ascii="Arial" w:eastAsia="Calibri" w:hAnsi="Arial" w:cs="Arial"/>
                <w:b/>
                <w:iCs/>
                <w:color w:val="000000" w:themeColor="text1"/>
              </w:rPr>
              <w:t>.</w:t>
            </w:r>
          </w:p>
          <w:p w14:paraId="6CDAF3CC" w14:textId="26C7BBCB" w:rsidR="0004225B" w:rsidRDefault="0004225B" w:rsidP="00D6729D">
            <w:pPr>
              <w:contextualSpacing/>
              <w:rPr>
                <w:rFonts w:ascii="Arial" w:eastAsia="Calibri" w:hAnsi="Arial" w:cs="Arial"/>
                <w:b/>
                <w:iCs/>
                <w:color w:val="000000" w:themeColor="text1"/>
              </w:rPr>
            </w:pPr>
          </w:p>
          <w:p w14:paraId="34356346" w14:textId="3F8C4F25" w:rsidR="00680C9F" w:rsidRPr="00680C9F" w:rsidRDefault="001C55B1" w:rsidP="00D6729D">
            <w:pPr>
              <w:contextualSpacing/>
              <w:rPr>
                <w:rFonts w:ascii="Arial" w:hAnsi="Arial" w:cs="Arial"/>
              </w:rPr>
            </w:pPr>
            <w:r>
              <w:rPr>
                <w:rFonts w:ascii="Arial" w:hAnsi="Arial" w:cs="Arial"/>
              </w:rPr>
              <w:t>HEE SW TVW</w:t>
            </w:r>
            <w:r w:rsidR="00680C9F" w:rsidRPr="002A0E53">
              <w:rPr>
                <w:rFonts w:ascii="Arial" w:hAnsi="Arial" w:cs="Arial"/>
              </w:rPr>
              <w:t xml:space="preserve"> submitted a th</w:t>
            </w:r>
            <w:r w:rsidR="00680C9F">
              <w:rPr>
                <w:rFonts w:ascii="Arial" w:hAnsi="Arial" w:cs="Arial"/>
              </w:rPr>
              <w:t>o</w:t>
            </w:r>
            <w:r w:rsidR="00680C9F" w:rsidRPr="002A0E53">
              <w:rPr>
                <w:rFonts w:ascii="Arial" w:hAnsi="Arial" w:cs="Arial"/>
              </w:rPr>
              <w:t>rough self-assessment in addition to</w:t>
            </w:r>
            <w:r w:rsidR="00680C9F">
              <w:rPr>
                <w:rFonts w:ascii="Arial" w:hAnsi="Arial" w:cs="Arial"/>
              </w:rPr>
              <w:t xml:space="preserve"> relevant</w:t>
            </w:r>
            <w:r w:rsidR="00680C9F" w:rsidRPr="002A0E53">
              <w:rPr>
                <w:rFonts w:ascii="Arial" w:hAnsi="Arial" w:cs="Arial"/>
              </w:rPr>
              <w:t xml:space="preserve"> supporting evidence against this Requirement. </w:t>
            </w:r>
          </w:p>
          <w:p w14:paraId="7F90586A" w14:textId="5F9CD923" w:rsidR="00680C9F" w:rsidRPr="00E966E3" w:rsidRDefault="00680C9F" w:rsidP="00D6729D">
            <w:pPr>
              <w:contextualSpacing/>
              <w:rPr>
                <w:rFonts w:ascii="Arial" w:eastAsia="Calibri" w:hAnsi="Arial" w:cs="Arial"/>
                <w:bCs/>
                <w:iCs/>
                <w:color w:val="000000" w:themeColor="text1"/>
              </w:rPr>
            </w:pPr>
          </w:p>
          <w:p w14:paraId="5141D4F1" w14:textId="28CADA3D" w:rsidR="002D2352" w:rsidRPr="00E966E3" w:rsidRDefault="00680C9F" w:rsidP="002D2352">
            <w:pPr>
              <w:contextualSpacing/>
              <w:rPr>
                <w:rFonts w:ascii="Arial" w:eastAsia="Calibri" w:hAnsi="Arial" w:cs="Arial"/>
                <w:bCs/>
                <w:iCs/>
                <w:color w:val="000000" w:themeColor="text1"/>
              </w:rPr>
            </w:pPr>
            <w:r w:rsidRPr="00E966E3">
              <w:rPr>
                <w:rFonts w:ascii="Arial" w:eastAsia="Calibri" w:hAnsi="Arial" w:cs="Arial"/>
                <w:bCs/>
                <w:iCs/>
                <w:color w:val="000000" w:themeColor="text1"/>
              </w:rPr>
              <w:t xml:space="preserve">It was noted by the education associates (EAs) that there is a robust </w:t>
            </w:r>
            <w:r w:rsidR="002D2352" w:rsidRPr="00E966E3">
              <w:rPr>
                <w:rFonts w:ascii="Arial" w:eastAsia="Calibri" w:hAnsi="Arial" w:cs="Arial"/>
                <w:bCs/>
                <w:iCs/>
                <w:color w:val="000000" w:themeColor="text1"/>
              </w:rPr>
              <w:t>Q</w:t>
            </w:r>
            <w:r w:rsidRPr="00E966E3">
              <w:rPr>
                <w:rFonts w:ascii="Arial" w:eastAsia="Calibri" w:hAnsi="Arial" w:cs="Arial"/>
                <w:bCs/>
                <w:iCs/>
                <w:color w:val="000000" w:themeColor="text1"/>
              </w:rPr>
              <w:t xml:space="preserve">uality </w:t>
            </w:r>
            <w:r w:rsidR="002D2352" w:rsidRPr="00E966E3">
              <w:rPr>
                <w:rFonts w:ascii="Arial" w:eastAsia="Calibri" w:hAnsi="Arial" w:cs="Arial"/>
                <w:bCs/>
                <w:iCs/>
                <w:color w:val="000000" w:themeColor="text1"/>
              </w:rPr>
              <w:t>M</w:t>
            </w:r>
            <w:r w:rsidRPr="00E966E3">
              <w:rPr>
                <w:rFonts w:ascii="Arial" w:eastAsia="Calibri" w:hAnsi="Arial" w:cs="Arial"/>
                <w:bCs/>
                <w:iCs/>
                <w:color w:val="000000" w:themeColor="text1"/>
              </w:rPr>
              <w:t xml:space="preserve">anagement </w:t>
            </w:r>
            <w:r w:rsidR="002D2352" w:rsidRPr="00E966E3">
              <w:rPr>
                <w:rFonts w:ascii="Arial" w:eastAsia="Calibri" w:hAnsi="Arial" w:cs="Arial"/>
                <w:bCs/>
                <w:iCs/>
                <w:color w:val="000000" w:themeColor="text1"/>
              </w:rPr>
              <w:t xml:space="preserve">(QM) </w:t>
            </w:r>
            <w:r w:rsidRPr="00E966E3">
              <w:rPr>
                <w:rFonts w:ascii="Arial" w:eastAsia="Calibri" w:hAnsi="Arial" w:cs="Arial"/>
                <w:bCs/>
                <w:iCs/>
                <w:color w:val="000000" w:themeColor="text1"/>
              </w:rPr>
              <w:t>process.</w:t>
            </w:r>
            <w:r w:rsidRPr="00E966E3">
              <w:rPr>
                <w:rFonts w:ascii="Arial" w:hAnsi="Arial" w:cs="Arial"/>
              </w:rPr>
              <w:t xml:space="preserve"> </w:t>
            </w:r>
            <w:r w:rsidR="008360C6" w:rsidRPr="00E966E3">
              <w:rPr>
                <w:rFonts w:ascii="Arial" w:hAnsi="Arial" w:cs="Arial"/>
              </w:rPr>
              <w:t xml:space="preserve">Both </w:t>
            </w:r>
            <w:r w:rsidR="002D2352" w:rsidRPr="00E966E3">
              <w:rPr>
                <w:rFonts w:ascii="Arial" w:eastAsia="Calibri" w:hAnsi="Arial" w:cs="Arial"/>
                <w:bCs/>
                <w:iCs/>
                <w:color w:val="000000" w:themeColor="text1"/>
              </w:rPr>
              <w:t>QM reports</w:t>
            </w:r>
            <w:r w:rsidR="008360C6" w:rsidRPr="00E966E3">
              <w:rPr>
                <w:rFonts w:ascii="Arial" w:eastAsia="Calibri" w:hAnsi="Arial" w:cs="Arial"/>
                <w:bCs/>
                <w:iCs/>
                <w:color w:val="000000" w:themeColor="text1"/>
              </w:rPr>
              <w:t xml:space="preserve"> and the new post checklist document</w:t>
            </w:r>
            <w:r w:rsidR="002D2352" w:rsidRPr="00E966E3">
              <w:rPr>
                <w:rFonts w:ascii="Arial" w:eastAsia="Calibri" w:hAnsi="Arial" w:cs="Arial"/>
                <w:bCs/>
                <w:iCs/>
                <w:color w:val="000000" w:themeColor="text1"/>
              </w:rPr>
              <w:t xml:space="preserve"> demonstrate</w:t>
            </w:r>
            <w:r w:rsidR="008360C6" w:rsidRPr="00E966E3">
              <w:rPr>
                <w:rFonts w:ascii="Arial" w:eastAsia="Calibri" w:hAnsi="Arial" w:cs="Arial"/>
                <w:bCs/>
                <w:iCs/>
                <w:color w:val="000000" w:themeColor="text1"/>
              </w:rPr>
              <w:t>s</w:t>
            </w:r>
            <w:r w:rsidR="002D2352" w:rsidRPr="00E966E3">
              <w:rPr>
                <w:rFonts w:ascii="Arial" w:eastAsia="Calibri" w:hAnsi="Arial" w:cs="Arial"/>
                <w:bCs/>
                <w:iCs/>
                <w:color w:val="000000" w:themeColor="text1"/>
              </w:rPr>
              <w:t xml:space="preserve"> that the SW</w:t>
            </w:r>
            <w:r w:rsidR="008360C6" w:rsidRPr="00E966E3">
              <w:rPr>
                <w:rFonts w:ascii="Arial" w:eastAsia="Calibri" w:hAnsi="Arial" w:cs="Arial"/>
                <w:bCs/>
                <w:iCs/>
                <w:color w:val="000000" w:themeColor="text1"/>
              </w:rPr>
              <w:t xml:space="preserve"> and TVW</w:t>
            </w:r>
            <w:r w:rsidR="002D2352" w:rsidRPr="00E966E3">
              <w:rPr>
                <w:rFonts w:ascii="Arial" w:eastAsia="Calibri" w:hAnsi="Arial" w:cs="Arial"/>
                <w:bCs/>
                <w:iCs/>
                <w:color w:val="000000" w:themeColor="text1"/>
              </w:rPr>
              <w:t xml:space="preserve"> </w:t>
            </w:r>
            <w:r w:rsidR="008E513C">
              <w:rPr>
                <w:rFonts w:ascii="Arial" w:eastAsia="Calibri" w:hAnsi="Arial" w:cs="Arial"/>
                <w:bCs/>
                <w:iCs/>
                <w:color w:val="000000" w:themeColor="text1"/>
              </w:rPr>
              <w:t>commissioners</w:t>
            </w:r>
            <w:r w:rsidR="002D2352" w:rsidRPr="00E966E3">
              <w:rPr>
                <w:rFonts w:ascii="Arial" w:eastAsia="Calibri" w:hAnsi="Arial" w:cs="Arial"/>
                <w:bCs/>
                <w:iCs/>
                <w:color w:val="000000" w:themeColor="text1"/>
              </w:rPr>
              <w:t xml:space="preserve"> review placements to ensure appropriate support to trainees, patient safety and clinical supervision. The evidence clearly demonstrates that the </w:t>
            </w:r>
            <w:r w:rsidR="00C93B85">
              <w:rPr>
                <w:rFonts w:ascii="Arial" w:eastAsia="Calibri" w:hAnsi="Arial" w:cs="Arial"/>
                <w:bCs/>
                <w:iCs/>
                <w:color w:val="000000" w:themeColor="text1"/>
              </w:rPr>
              <w:t xml:space="preserve">local offices </w:t>
            </w:r>
            <w:r w:rsidR="00405323">
              <w:rPr>
                <w:rFonts w:ascii="Arial" w:eastAsia="Calibri" w:hAnsi="Arial" w:cs="Arial"/>
                <w:bCs/>
                <w:iCs/>
                <w:color w:val="000000" w:themeColor="text1"/>
              </w:rPr>
              <w:t>have</w:t>
            </w:r>
            <w:r w:rsidR="00405323" w:rsidRPr="00E966E3">
              <w:rPr>
                <w:rFonts w:ascii="Arial" w:eastAsia="Calibri" w:hAnsi="Arial" w:cs="Arial"/>
                <w:bCs/>
                <w:iCs/>
                <w:color w:val="000000" w:themeColor="text1"/>
              </w:rPr>
              <w:t xml:space="preserve"> </w:t>
            </w:r>
            <w:r w:rsidR="00F444E1">
              <w:rPr>
                <w:rFonts w:ascii="Arial" w:eastAsia="Calibri" w:hAnsi="Arial" w:cs="Arial"/>
                <w:bCs/>
                <w:iCs/>
                <w:color w:val="000000" w:themeColor="text1"/>
              </w:rPr>
              <w:t xml:space="preserve">been </w:t>
            </w:r>
            <w:r w:rsidR="002D2352" w:rsidRPr="00E966E3">
              <w:rPr>
                <w:rFonts w:ascii="Arial" w:eastAsia="Calibri" w:hAnsi="Arial" w:cs="Arial"/>
                <w:bCs/>
                <w:iCs/>
                <w:color w:val="000000" w:themeColor="text1"/>
              </w:rPr>
              <w:t>carefully reviewed to confirm that they have all processes in place</w:t>
            </w:r>
            <w:r w:rsidR="005E4653" w:rsidRPr="00E966E3">
              <w:rPr>
                <w:rFonts w:ascii="Arial" w:eastAsia="Calibri" w:hAnsi="Arial" w:cs="Arial"/>
                <w:bCs/>
                <w:iCs/>
                <w:color w:val="000000" w:themeColor="text1"/>
              </w:rPr>
              <w:t>,</w:t>
            </w:r>
            <w:r w:rsidR="002D2352" w:rsidRPr="00E966E3">
              <w:rPr>
                <w:rFonts w:ascii="Arial" w:eastAsia="Calibri" w:hAnsi="Arial" w:cs="Arial"/>
                <w:bCs/>
                <w:iCs/>
                <w:color w:val="000000" w:themeColor="text1"/>
              </w:rPr>
              <w:t xml:space="preserve"> to ensure trainees are supported.</w:t>
            </w:r>
            <w:r w:rsidR="005E4653" w:rsidRPr="00E966E3">
              <w:rPr>
                <w:rFonts w:ascii="Arial" w:eastAsia="Calibri" w:hAnsi="Arial" w:cs="Arial"/>
                <w:bCs/>
                <w:iCs/>
                <w:color w:val="7030A0"/>
              </w:rPr>
              <w:t xml:space="preserve"> </w:t>
            </w:r>
          </w:p>
          <w:p w14:paraId="1F42ECA8" w14:textId="65930760" w:rsidR="00680C9F" w:rsidRDefault="00680C9F" w:rsidP="00D6729D">
            <w:pPr>
              <w:contextualSpacing/>
              <w:rPr>
                <w:rFonts w:ascii="Arial" w:eastAsia="Calibri" w:hAnsi="Arial" w:cs="Arial"/>
                <w:bCs/>
                <w:iCs/>
                <w:color w:val="FF0000"/>
              </w:rPr>
            </w:pPr>
          </w:p>
          <w:p w14:paraId="5EF7B27F" w14:textId="5ABC42EC" w:rsidR="00FA5EC0" w:rsidRDefault="00FA5EC0" w:rsidP="00FA5EC0">
            <w:pPr>
              <w:contextualSpacing/>
              <w:rPr>
                <w:rFonts w:ascii="Arial" w:eastAsia="Calibri" w:hAnsi="Arial" w:cs="Arial"/>
                <w:bCs/>
                <w:iCs/>
                <w:color w:val="000000" w:themeColor="text1"/>
              </w:rPr>
            </w:pPr>
            <w:r w:rsidRPr="00FA5EC0">
              <w:rPr>
                <w:rFonts w:ascii="Arial" w:eastAsia="Calibri" w:hAnsi="Arial" w:cs="Arial"/>
                <w:bCs/>
                <w:iCs/>
                <w:color w:val="000000" w:themeColor="text1"/>
              </w:rPr>
              <w:t xml:space="preserve">There is clear evidence that the National Recruitment exercise for </w:t>
            </w:r>
            <w:r w:rsidR="00DC5816">
              <w:rPr>
                <w:rFonts w:ascii="Arial" w:eastAsia="Calibri" w:hAnsi="Arial" w:cs="Arial"/>
                <w:bCs/>
                <w:iCs/>
                <w:color w:val="000000" w:themeColor="text1"/>
              </w:rPr>
              <w:t>s</w:t>
            </w:r>
            <w:r w:rsidRPr="00FA5EC0">
              <w:rPr>
                <w:rFonts w:ascii="Arial" w:eastAsia="Calibri" w:hAnsi="Arial" w:cs="Arial"/>
                <w:bCs/>
                <w:iCs/>
                <w:color w:val="000000" w:themeColor="text1"/>
              </w:rPr>
              <w:t xml:space="preserve">peciality </w:t>
            </w:r>
            <w:r w:rsidR="00DC5816">
              <w:rPr>
                <w:rFonts w:ascii="Arial" w:eastAsia="Calibri" w:hAnsi="Arial" w:cs="Arial"/>
                <w:bCs/>
                <w:iCs/>
                <w:color w:val="000000" w:themeColor="text1"/>
              </w:rPr>
              <w:t>t</w:t>
            </w:r>
            <w:r w:rsidRPr="00FA5EC0">
              <w:rPr>
                <w:rFonts w:ascii="Arial" w:eastAsia="Calibri" w:hAnsi="Arial" w:cs="Arial"/>
                <w:bCs/>
                <w:iCs/>
                <w:color w:val="000000" w:themeColor="text1"/>
              </w:rPr>
              <w:t>rainees is robust and based on merit</w:t>
            </w:r>
            <w:r w:rsidR="005F2B1A">
              <w:rPr>
                <w:rFonts w:ascii="Arial" w:eastAsia="Calibri" w:hAnsi="Arial" w:cs="Arial"/>
                <w:bCs/>
                <w:iCs/>
                <w:color w:val="000000" w:themeColor="text1"/>
              </w:rPr>
              <w:t>,</w:t>
            </w:r>
            <w:r w:rsidRPr="00FA5EC0">
              <w:rPr>
                <w:rFonts w:ascii="Arial" w:eastAsia="Calibri" w:hAnsi="Arial" w:cs="Arial"/>
                <w:bCs/>
                <w:iCs/>
                <w:color w:val="000000" w:themeColor="text1"/>
              </w:rPr>
              <w:t xml:space="preserve"> </w:t>
            </w:r>
            <w:r w:rsidR="007562DC">
              <w:rPr>
                <w:rFonts w:ascii="Arial" w:eastAsia="Calibri" w:hAnsi="Arial" w:cs="Arial"/>
                <w:bCs/>
                <w:iCs/>
                <w:color w:val="000000" w:themeColor="text1"/>
              </w:rPr>
              <w:t>despite</w:t>
            </w:r>
            <w:r w:rsidRPr="00FA5EC0">
              <w:rPr>
                <w:rFonts w:ascii="Arial" w:eastAsia="Calibri" w:hAnsi="Arial" w:cs="Arial"/>
                <w:bCs/>
                <w:iCs/>
                <w:color w:val="000000" w:themeColor="text1"/>
              </w:rPr>
              <w:t xml:space="preserve"> the process be</w:t>
            </w:r>
            <w:r w:rsidR="007562DC">
              <w:rPr>
                <w:rFonts w:ascii="Arial" w:eastAsia="Calibri" w:hAnsi="Arial" w:cs="Arial"/>
                <w:bCs/>
                <w:iCs/>
                <w:color w:val="000000" w:themeColor="text1"/>
              </w:rPr>
              <w:t>ing</w:t>
            </w:r>
            <w:r w:rsidRPr="00FA5EC0">
              <w:rPr>
                <w:rFonts w:ascii="Arial" w:eastAsia="Calibri" w:hAnsi="Arial" w:cs="Arial"/>
                <w:bCs/>
                <w:iCs/>
                <w:color w:val="000000" w:themeColor="text1"/>
              </w:rPr>
              <w:t xml:space="preserve"> </w:t>
            </w:r>
            <w:r w:rsidR="00D8280A">
              <w:rPr>
                <w:rFonts w:ascii="Arial" w:eastAsia="Calibri" w:hAnsi="Arial" w:cs="Arial"/>
                <w:bCs/>
                <w:iCs/>
                <w:color w:val="000000" w:themeColor="text1"/>
              </w:rPr>
              <w:t>affected</w:t>
            </w:r>
            <w:r w:rsidRPr="00FA5EC0">
              <w:rPr>
                <w:rFonts w:ascii="Arial" w:eastAsia="Calibri" w:hAnsi="Arial" w:cs="Arial"/>
                <w:bCs/>
                <w:iCs/>
                <w:color w:val="000000" w:themeColor="text1"/>
              </w:rPr>
              <w:t xml:space="preserve"> by the C</w:t>
            </w:r>
            <w:r w:rsidR="00D43DF7">
              <w:rPr>
                <w:rFonts w:ascii="Arial" w:eastAsia="Calibri" w:hAnsi="Arial" w:cs="Arial"/>
                <w:bCs/>
                <w:iCs/>
                <w:color w:val="000000" w:themeColor="text1"/>
              </w:rPr>
              <w:t>OVID-</w:t>
            </w:r>
            <w:r w:rsidRPr="00FA5EC0">
              <w:rPr>
                <w:rFonts w:ascii="Arial" w:eastAsia="Calibri" w:hAnsi="Arial" w:cs="Arial"/>
                <w:bCs/>
                <w:iCs/>
                <w:color w:val="000000" w:themeColor="text1"/>
              </w:rPr>
              <w:t xml:space="preserve">19 pandemic. The </w:t>
            </w:r>
            <w:r w:rsidR="008360C6">
              <w:rPr>
                <w:rFonts w:ascii="Arial" w:eastAsia="Calibri" w:hAnsi="Arial" w:cs="Arial"/>
                <w:bCs/>
                <w:iCs/>
                <w:color w:val="000000" w:themeColor="text1"/>
              </w:rPr>
              <w:t>p</w:t>
            </w:r>
            <w:r w:rsidRPr="00FA5EC0">
              <w:rPr>
                <w:rFonts w:ascii="Arial" w:eastAsia="Calibri" w:hAnsi="Arial" w:cs="Arial"/>
                <w:bCs/>
                <w:iCs/>
                <w:color w:val="000000" w:themeColor="text1"/>
              </w:rPr>
              <w:t xml:space="preserve">erson </w:t>
            </w:r>
            <w:r w:rsidR="008360C6">
              <w:rPr>
                <w:rFonts w:ascii="Arial" w:eastAsia="Calibri" w:hAnsi="Arial" w:cs="Arial"/>
                <w:bCs/>
                <w:iCs/>
                <w:color w:val="000000" w:themeColor="text1"/>
              </w:rPr>
              <w:t>s</w:t>
            </w:r>
            <w:r w:rsidRPr="00FA5EC0">
              <w:rPr>
                <w:rFonts w:ascii="Arial" w:eastAsia="Calibri" w:hAnsi="Arial" w:cs="Arial"/>
                <w:bCs/>
                <w:iCs/>
                <w:color w:val="000000" w:themeColor="text1"/>
              </w:rPr>
              <w:t xml:space="preserve">pecifications make clear the minimum entry requirements and the competences </w:t>
            </w:r>
            <w:r w:rsidRPr="00F94999">
              <w:rPr>
                <w:rFonts w:ascii="Arial" w:eastAsia="Calibri" w:hAnsi="Arial" w:cs="Arial"/>
                <w:bCs/>
                <w:iCs/>
                <w:color w:val="000000" w:themeColor="text1"/>
              </w:rPr>
              <w:t>required</w:t>
            </w:r>
            <w:r w:rsidR="005F2B1A">
              <w:rPr>
                <w:rFonts w:ascii="Arial" w:eastAsia="Calibri" w:hAnsi="Arial" w:cs="Arial"/>
                <w:bCs/>
                <w:iCs/>
                <w:color w:val="000000" w:themeColor="text1"/>
              </w:rPr>
              <w:t>.  The competences set out the requirements in terms of</w:t>
            </w:r>
            <w:r w:rsidRPr="00F94999">
              <w:rPr>
                <w:rFonts w:ascii="Arial" w:eastAsia="Calibri" w:hAnsi="Arial" w:cs="Arial"/>
                <w:bCs/>
                <w:iCs/>
                <w:color w:val="000000" w:themeColor="text1"/>
              </w:rPr>
              <w:t xml:space="preserve"> applicants’ skills, knowledge, and experience. </w:t>
            </w:r>
            <w:r w:rsidR="00F94999" w:rsidRPr="00680C9F">
              <w:rPr>
                <w:rFonts w:ascii="Arial" w:eastAsia="Calibri" w:hAnsi="Arial" w:cs="Arial"/>
                <w:bCs/>
                <w:iCs/>
                <w:color w:val="000000" w:themeColor="text1"/>
              </w:rPr>
              <w:t>A benchmarking process ensures applicants meet the</w:t>
            </w:r>
            <w:r w:rsidR="005F2B1A">
              <w:rPr>
                <w:rFonts w:ascii="Arial" w:eastAsia="Calibri" w:hAnsi="Arial" w:cs="Arial"/>
                <w:bCs/>
                <w:iCs/>
                <w:color w:val="000000" w:themeColor="text1"/>
              </w:rPr>
              <w:t xml:space="preserve"> necessary</w:t>
            </w:r>
            <w:r w:rsidR="00F94999" w:rsidRPr="00680C9F">
              <w:rPr>
                <w:rFonts w:ascii="Arial" w:eastAsia="Calibri" w:hAnsi="Arial" w:cs="Arial"/>
                <w:bCs/>
                <w:iCs/>
                <w:color w:val="000000" w:themeColor="text1"/>
              </w:rPr>
              <w:t xml:space="preserve"> standard. </w:t>
            </w:r>
            <w:r w:rsidR="00F94999" w:rsidRPr="00F94999">
              <w:rPr>
                <w:rFonts w:ascii="Arial" w:eastAsia="Calibri" w:hAnsi="Arial" w:cs="Arial"/>
                <w:bCs/>
                <w:iCs/>
                <w:color w:val="000000" w:themeColor="text1"/>
              </w:rPr>
              <w:t xml:space="preserve"> </w:t>
            </w:r>
            <w:r w:rsidRPr="00F94999">
              <w:rPr>
                <w:rFonts w:ascii="Arial" w:eastAsia="Calibri" w:hAnsi="Arial" w:cs="Arial"/>
                <w:bCs/>
                <w:iCs/>
                <w:color w:val="000000" w:themeColor="text1"/>
              </w:rPr>
              <w:t>The self-assessment aspect of the</w:t>
            </w:r>
            <w:r w:rsidR="00E966E3">
              <w:rPr>
                <w:rFonts w:ascii="Arial" w:eastAsia="Calibri" w:hAnsi="Arial" w:cs="Arial"/>
                <w:bCs/>
                <w:iCs/>
                <w:color w:val="000000" w:themeColor="text1"/>
              </w:rPr>
              <w:t xml:space="preserve"> submission</w:t>
            </w:r>
            <w:r w:rsidRPr="00F94999">
              <w:rPr>
                <w:rFonts w:ascii="Arial" w:eastAsia="Calibri" w:hAnsi="Arial" w:cs="Arial"/>
                <w:bCs/>
                <w:iCs/>
                <w:color w:val="000000" w:themeColor="text1"/>
              </w:rPr>
              <w:t xml:space="preserve"> particularly addresses issues which </w:t>
            </w:r>
            <w:r w:rsidR="007562DC">
              <w:rPr>
                <w:rFonts w:ascii="Arial" w:eastAsia="Calibri" w:hAnsi="Arial" w:cs="Arial"/>
                <w:bCs/>
                <w:iCs/>
                <w:color w:val="000000" w:themeColor="text1"/>
              </w:rPr>
              <w:t>e</w:t>
            </w:r>
            <w:r w:rsidRPr="00F94999">
              <w:rPr>
                <w:rFonts w:ascii="Arial" w:eastAsia="Calibri" w:hAnsi="Arial" w:cs="Arial"/>
                <w:bCs/>
                <w:iCs/>
                <w:color w:val="000000" w:themeColor="text1"/>
              </w:rPr>
              <w:t xml:space="preserve">ffect patient safety, including the Specialty Trainee's clinical skills, health, and </w:t>
            </w:r>
            <w:r w:rsidR="005F2B1A">
              <w:rPr>
                <w:rFonts w:ascii="Arial" w:eastAsia="Calibri" w:hAnsi="Arial" w:cs="Arial"/>
                <w:bCs/>
                <w:iCs/>
                <w:color w:val="000000" w:themeColor="text1"/>
              </w:rPr>
              <w:t xml:space="preserve">any </w:t>
            </w:r>
            <w:r w:rsidRPr="00F94999">
              <w:rPr>
                <w:rFonts w:ascii="Arial" w:eastAsia="Calibri" w:hAnsi="Arial" w:cs="Arial"/>
                <w:bCs/>
                <w:iCs/>
                <w:color w:val="000000" w:themeColor="text1"/>
              </w:rPr>
              <w:t>fitness to practise issues.</w:t>
            </w:r>
            <w:r w:rsidR="00F94999" w:rsidRPr="00680C9F">
              <w:rPr>
                <w:rFonts w:ascii="Arial" w:eastAsia="Calibri" w:hAnsi="Arial" w:cs="Arial"/>
                <w:bCs/>
                <w:iCs/>
                <w:color w:val="000000" w:themeColor="text1"/>
              </w:rPr>
              <w:t xml:space="preserve"> </w:t>
            </w:r>
            <w:r w:rsidRPr="00F94999">
              <w:rPr>
                <w:rFonts w:ascii="Arial" w:eastAsia="Calibri" w:hAnsi="Arial" w:cs="Arial"/>
                <w:bCs/>
                <w:iCs/>
                <w:color w:val="000000" w:themeColor="text1"/>
              </w:rPr>
              <w:t>The structures in place and the processes to be followed once a trainee has been appointed</w:t>
            </w:r>
            <w:r w:rsidR="005E4653">
              <w:rPr>
                <w:rFonts w:ascii="Arial" w:eastAsia="Calibri" w:hAnsi="Arial" w:cs="Arial"/>
                <w:bCs/>
                <w:iCs/>
                <w:color w:val="000000" w:themeColor="text1"/>
              </w:rPr>
              <w:t>,</w:t>
            </w:r>
            <w:r w:rsidRPr="00F94999">
              <w:rPr>
                <w:rFonts w:ascii="Arial" w:eastAsia="Calibri" w:hAnsi="Arial" w:cs="Arial"/>
                <w:bCs/>
                <w:iCs/>
                <w:color w:val="000000" w:themeColor="text1"/>
              </w:rPr>
              <w:t xml:space="preserve"> are also clear. </w:t>
            </w:r>
          </w:p>
          <w:p w14:paraId="72A24343" w14:textId="77777777" w:rsidR="002D2352" w:rsidRDefault="002D2352" w:rsidP="00FA5EC0">
            <w:pPr>
              <w:contextualSpacing/>
              <w:rPr>
                <w:rFonts w:ascii="Arial" w:eastAsia="Calibri" w:hAnsi="Arial" w:cs="Arial"/>
                <w:bCs/>
                <w:iCs/>
                <w:color w:val="000000" w:themeColor="text1"/>
              </w:rPr>
            </w:pPr>
          </w:p>
          <w:p w14:paraId="29240B92" w14:textId="4ADEE9F4" w:rsidR="005E4653" w:rsidRDefault="002D2352" w:rsidP="002D2352">
            <w:pPr>
              <w:contextualSpacing/>
              <w:rPr>
                <w:rFonts w:ascii="Arial" w:eastAsia="Calibri" w:hAnsi="Arial" w:cs="Arial"/>
                <w:bCs/>
                <w:iCs/>
                <w:color w:val="000000" w:themeColor="text1"/>
              </w:rPr>
            </w:pPr>
            <w:r w:rsidRPr="00680C9F">
              <w:rPr>
                <w:rFonts w:ascii="Arial" w:eastAsia="Calibri" w:hAnsi="Arial" w:cs="Arial"/>
                <w:bCs/>
                <w:iCs/>
                <w:color w:val="000000" w:themeColor="text1"/>
              </w:rPr>
              <w:t xml:space="preserve">In the evidence submitted, it was apparent that the content of the </w:t>
            </w:r>
            <w:r>
              <w:rPr>
                <w:rFonts w:ascii="Arial" w:eastAsia="Calibri" w:hAnsi="Arial" w:cs="Arial"/>
                <w:bCs/>
                <w:iCs/>
                <w:color w:val="000000" w:themeColor="text1"/>
              </w:rPr>
              <w:t>“</w:t>
            </w:r>
            <w:r w:rsidRPr="00680C9F">
              <w:rPr>
                <w:rFonts w:ascii="Arial" w:eastAsia="Calibri" w:hAnsi="Arial" w:cs="Arial"/>
                <w:bCs/>
                <w:iCs/>
                <w:color w:val="000000" w:themeColor="text1"/>
              </w:rPr>
              <w:t xml:space="preserve">Introduction to Dental Specialist training in the </w:t>
            </w:r>
            <w:r w:rsidR="00BF3165" w:rsidRPr="00680C9F">
              <w:rPr>
                <w:rFonts w:ascii="Arial" w:eastAsia="Calibri" w:hAnsi="Arial" w:cs="Arial"/>
                <w:bCs/>
                <w:iCs/>
                <w:color w:val="000000" w:themeColor="text1"/>
              </w:rPr>
              <w:t>South</w:t>
            </w:r>
            <w:r w:rsidR="007562DC">
              <w:rPr>
                <w:rFonts w:ascii="Arial" w:eastAsia="Calibri" w:hAnsi="Arial" w:cs="Arial"/>
                <w:bCs/>
                <w:iCs/>
                <w:color w:val="000000" w:themeColor="text1"/>
              </w:rPr>
              <w:t xml:space="preserve"> W</w:t>
            </w:r>
            <w:r w:rsidR="00BF3165" w:rsidRPr="00680C9F">
              <w:rPr>
                <w:rFonts w:ascii="Arial" w:eastAsia="Calibri" w:hAnsi="Arial" w:cs="Arial"/>
                <w:bCs/>
                <w:iCs/>
                <w:color w:val="000000" w:themeColor="text1"/>
              </w:rPr>
              <w:t>est</w:t>
            </w:r>
            <w:r>
              <w:rPr>
                <w:rFonts w:ascii="Arial" w:eastAsia="Calibri" w:hAnsi="Arial" w:cs="Arial"/>
                <w:bCs/>
                <w:iCs/>
                <w:color w:val="000000" w:themeColor="text1"/>
              </w:rPr>
              <w:t>”</w:t>
            </w:r>
            <w:r w:rsidRPr="00680C9F">
              <w:rPr>
                <w:rFonts w:ascii="Arial" w:eastAsia="Calibri" w:hAnsi="Arial" w:cs="Arial"/>
                <w:bCs/>
                <w:iCs/>
                <w:color w:val="000000" w:themeColor="text1"/>
              </w:rPr>
              <w:t xml:space="preserve"> is </w:t>
            </w:r>
            <w:r>
              <w:rPr>
                <w:rFonts w:ascii="Arial" w:eastAsia="Calibri" w:hAnsi="Arial" w:cs="Arial"/>
                <w:bCs/>
                <w:iCs/>
                <w:color w:val="000000" w:themeColor="text1"/>
              </w:rPr>
              <w:t xml:space="preserve">clear, concise and easily comprehensible, which </w:t>
            </w:r>
            <w:r w:rsidR="00E35181">
              <w:rPr>
                <w:rFonts w:ascii="Arial" w:eastAsia="Calibri" w:hAnsi="Arial" w:cs="Arial"/>
                <w:bCs/>
                <w:iCs/>
                <w:color w:val="000000" w:themeColor="text1"/>
              </w:rPr>
              <w:t>is</w:t>
            </w:r>
            <w:r>
              <w:rPr>
                <w:rFonts w:ascii="Arial" w:eastAsia="Calibri" w:hAnsi="Arial" w:cs="Arial"/>
                <w:bCs/>
                <w:iCs/>
                <w:color w:val="000000" w:themeColor="text1"/>
              </w:rPr>
              <w:t xml:space="preserve"> aligned with the version utilised </w:t>
            </w:r>
            <w:r w:rsidR="005F2B1A">
              <w:rPr>
                <w:rFonts w:ascii="Arial" w:eastAsia="Calibri" w:hAnsi="Arial" w:cs="Arial"/>
                <w:bCs/>
                <w:iCs/>
                <w:color w:val="000000" w:themeColor="text1"/>
              </w:rPr>
              <w:t xml:space="preserve">by </w:t>
            </w:r>
            <w:r>
              <w:rPr>
                <w:rFonts w:ascii="Arial" w:eastAsia="Calibri" w:hAnsi="Arial" w:cs="Arial"/>
                <w:bCs/>
                <w:iCs/>
                <w:color w:val="000000" w:themeColor="text1"/>
              </w:rPr>
              <w:t>Thames Valley and Wessex. This provides assurance that there is consistency in their approach.</w:t>
            </w:r>
            <w:r w:rsidR="005E4653" w:rsidRPr="00680C9F">
              <w:rPr>
                <w:rFonts w:ascii="Arial" w:eastAsia="Calibri" w:hAnsi="Arial" w:cs="Arial"/>
                <w:bCs/>
                <w:iCs/>
                <w:color w:val="000000" w:themeColor="text1"/>
              </w:rPr>
              <w:t xml:space="preserve"> </w:t>
            </w:r>
          </w:p>
          <w:p w14:paraId="0DE958D8" w14:textId="77777777" w:rsidR="005E4653" w:rsidRDefault="005E4653" w:rsidP="002D2352">
            <w:pPr>
              <w:contextualSpacing/>
              <w:rPr>
                <w:rFonts w:ascii="Arial" w:eastAsia="Calibri" w:hAnsi="Arial" w:cs="Arial"/>
                <w:bCs/>
                <w:iCs/>
                <w:color w:val="000000" w:themeColor="text1"/>
              </w:rPr>
            </w:pPr>
          </w:p>
          <w:p w14:paraId="7FCEDEAD" w14:textId="5C8A4D3A" w:rsidR="002D2352" w:rsidRPr="00E966E3" w:rsidRDefault="005E4653" w:rsidP="002D2352">
            <w:pPr>
              <w:rPr>
                <w:rFonts w:ascii="Arial" w:hAnsi="Arial" w:cs="Arial"/>
              </w:rPr>
            </w:pPr>
            <w:r w:rsidRPr="00680C9F">
              <w:rPr>
                <w:rFonts w:ascii="Arial" w:eastAsia="Calibri" w:hAnsi="Arial" w:cs="Arial"/>
                <w:bCs/>
                <w:iCs/>
                <w:color w:val="000000" w:themeColor="text1"/>
              </w:rPr>
              <w:t xml:space="preserve">Statutory and mandatory training appears to be delivered via online </w:t>
            </w:r>
            <w:r w:rsidR="00941659" w:rsidRPr="00680C9F">
              <w:rPr>
                <w:rFonts w:ascii="Arial" w:eastAsia="Calibri" w:hAnsi="Arial" w:cs="Arial"/>
                <w:bCs/>
                <w:iCs/>
                <w:color w:val="000000" w:themeColor="text1"/>
              </w:rPr>
              <w:t>e</w:t>
            </w:r>
            <w:r w:rsidR="00405323">
              <w:rPr>
                <w:rFonts w:ascii="Arial" w:eastAsia="Calibri" w:hAnsi="Arial" w:cs="Arial"/>
                <w:bCs/>
                <w:iCs/>
                <w:color w:val="000000" w:themeColor="text1"/>
              </w:rPr>
              <w:t>-</w:t>
            </w:r>
            <w:r w:rsidR="00941659" w:rsidRPr="00680C9F">
              <w:rPr>
                <w:rFonts w:ascii="Arial" w:eastAsia="Calibri" w:hAnsi="Arial" w:cs="Arial"/>
                <w:bCs/>
                <w:iCs/>
                <w:color w:val="000000" w:themeColor="text1"/>
              </w:rPr>
              <w:t>Learning</w:t>
            </w:r>
            <w:r w:rsidRPr="00680C9F">
              <w:rPr>
                <w:rFonts w:ascii="Arial" w:eastAsia="Calibri" w:hAnsi="Arial" w:cs="Arial"/>
                <w:bCs/>
                <w:iCs/>
                <w:color w:val="000000" w:themeColor="text1"/>
              </w:rPr>
              <w:t xml:space="preserve"> modules</w:t>
            </w:r>
            <w:r>
              <w:rPr>
                <w:rFonts w:ascii="Arial" w:eastAsia="Calibri" w:hAnsi="Arial" w:cs="Arial"/>
                <w:bCs/>
                <w:iCs/>
                <w:color w:val="000000" w:themeColor="text1"/>
              </w:rPr>
              <w:t xml:space="preserve"> during the </w:t>
            </w:r>
            <w:r w:rsidR="00E966E3">
              <w:rPr>
                <w:rFonts w:ascii="Arial" w:eastAsia="Calibri" w:hAnsi="Arial" w:cs="Arial"/>
                <w:bCs/>
                <w:iCs/>
                <w:color w:val="000000" w:themeColor="text1"/>
              </w:rPr>
              <w:t xml:space="preserve">HEE </w:t>
            </w:r>
            <w:r>
              <w:rPr>
                <w:rFonts w:ascii="Arial" w:eastAsia="Calibri" w:hAnsi="Arial" w:cs="Arial"/>
                <w:bCs/>
                <w:iCs/>
                <w:color w:val="000000" w:themeColor="text1"/>
              </w:rPr>
              <w:t>Dental Induction Programmes</w:t>
            </w:r>
            <w:r w:rsidRPr="00680C9F">
              <w:rPr>
                <w:rFonts w:ascii="Arial" w:eastAsia="Calibri" w:hAnsi="Arial" w:cs="Arial"/>
                <w:bCs/>
                <w:iCs/>
                <w:color w:val="000000" w:themeColor="text1"/>
              </w:rPr>
              <w:t xml:space="preserve">. </w:t>
            </w:r>
            <w:r w:rsidR="00E966E3">
              <w:rPr>
                <w:rFonts w:ascii="Arial" w:eastAsia="Calibri" w:hAnsi="Arial" w:cs="Arial"/>
                <w:bCs/>
                <w:iCs/>
                <w:color w:val="000000" w:themeColor="text1"/>
              </w:rPr>
              <w:t xml:space="preserve">This includes </w:t>
            </w:r>
            <w:r w:rsidR="00E966E3">
              <w:rPr>
                <w:rFonts w:ascii="Arial" w:hAnsi="Arial" w:cs="Arial"/>
              </w:rPr>
              <w:t xml:space="preserve">key information about </w:t>
            </w:r>
            <w:r w:rsidR="00C93B85">
              <w:rPr>
                <w:rFonts w:ascii="Arial" w:hAnsi="Arial" w:cs="Arial"/>
              </w:rPr>
              <w:t>local offices</w:t>
            </w:r>
            <w:r w:rsidR="005F2B1A">
              <w:rPr>
                <w:rFonts w:ascii="Arial" w:hAnsi="Arial" w:cs="Arial"/>
              </w:rPr>
              <w:t xml:space="preserve">’ expectations of Specialty </w:t>
            </w:r>
            <w:r w:rsidR="004026B8">
              <w:rPr>
                <w:rFonts w:ascii="Arial" w:hAnsi="Arial" w:cs="Arial"/>
              </w:rPr>
              <w:t>Trainees,</w:t>
            </w:r>
            <w:r w:rsidR="00405323">
              <w:rPr>
                <w:rFonts w:ascii="Arial" w:hAnsi="Arial" w:cs="Arial"/>
              </w:rPr>
              <w:t xml:space="preserve"> and</w:t>
            </w:r>
            <w:r w:rsidR="00E966E3">
              <w:rPr>
                <w:rFonts w:ascii="Arial" w:hAnsi="Arial" w:cs="Arial"/>
              </w:rPr>
              <w:t xml:space="preserve"> how </w:t>
            </w:r>
            <w:r w:rsidR="005F2B1A">
              <w:rPr>
                <w:rFonts w:ascii="Arial" w:hAnsi="Arial" w:cs="Arial"/>
              </w:rPr>
              <w:t xml:space="preserve">Specialty Trainees </w:t>
            </w:r>
            <w:r w:rsidR="00E966E3">
              <w:rPr>
                <w:rFonts w:ascii="Arial" w:hAnsi="Arial" w:cs="Arial"/>
              </w:rPr>
              <w:t>raise any concerns they may have about</w:t>
            </w:r>
            <w:r w:rsidR="005F2B1A">
              <w:rPr>
                <w:rFonts w:ascii="Arial" w:hAnsi="Arial" w:cs="Arial"/>
              </w:rPr>
              <w:t xml:space="preserve"> </w:t>
            </w:r>
            <w:r w:rsidR="00E966E3">
              <w:rPr>
                <w:rFonts w:ascii="Arial" w:hAnsi="Arial" w:cs="Arial"/>
              </w:rPr>
              <w:t xml:space="preserve">patient safety, serious incidents, duty of candour and </w:t>
            </w:r>
            <w:r w:rsidR="00405323">
              <w:rPr>
                <w:rFonts w:ascii="Arial" w:hAnsi="Arial" w:cs="Arial"/>
              </w:rPr>
              <w:t xml:space="preserve">what </w:t>
            </w:r>
            <w:r w:rsidR="00E966E3">
              <w:rPr>
                <w:rFonts w:ascii="Arial" w:hAnsi="Arial" w:cs="Arial"/>
              </w:rPr>
              <w:t xml:space="preserve">support </w:t>
            </w:r>
            <w:r w:rsidR="00405323">
              <w:rPr>
                <w:rFonts w:ascii="Arial" w:hAnsi="Arial" w:cs="Arial"/>
              </w:rPr>
              <w:t xml:space="preserve">is </w:t>
            </w:r>
            <w:r w:rsidR="00E966E3">
              <w:rPr>
                <w:rFonts w:ascii="Arial" w:hAnsi="Arial" w:cs="Arial"/>
              </w:rPr>
              <w:t xml:space="preserve">available to them. </w:t>
            </w:r>
          </w:p>
          <w:p w14:paraId="35E81767" w14:textId="23D6919A" w:rsidR="002D2352" w:rsidRDefault="002D2352" w:rsidP="00FA5EC0">
            <w:pPr>
              <w:contextualSpacing/>
              <w:rPr>
                <w:rFonts w:ascii="Arial" w:eastAsia="Calibri" w:hAnsi="Arial" w:cs="Arial"/>
                <w:bCs/>
                <w:iCs/>
                <w:color w:val="000000" w:themeColor="text1"/>
              </w:rPr>
            </w:pPr>
          </w:p>
          <w:p w14:paraId="05613FEC" w14:textId="43837D20" w:rsidR="002D2352" w:rsidRDefault="002D2352" w:rsidP="00E35181">
            <w:pPr>
              <w:contextualSpacing/>
              <w:rPr>
                <w:rFonts w:ascii="Arial" w:eastAsia="Calibri" w:hAnsi="Arial" w:cs="Arial"/>
                <w:bCs/>
                <w:iCs/>
                <w:color w:val="000000" w:themeColor="text1"/>
              </w:rPr>
            </w:pPr>
            <w:r>
              <w:rPr>
                <w:rFonts w:ascii="Arial" w:eastAsia="Calibri" w:hAnsi="Arial" w:cs="Arial"/>
                <w:bCs/>
                <w:iCs/>
                <w:color w:val="000000" w:themeColor="text1"/>
              </w:rPr>
              <w:t>The I</w:t>
            </w:r>
            <w:r w:rsidRPr="00680C9F">
              <w:rPr>
                <w:rFonts w:ascii="Arial" w:eastAsia="Calibri" w:hAnsi="Arial" w:cs="Arial"/>
                <w:bCs/>
                <w:iCs/>
                <w:color w:val="000000" w:themeColor="text1"/>
              </w:rPr>
              <w:t>nduction</w:t>
            </w:r>
            <w:r>
              <w:rPr>
                <w:rFonts w:ascii="Arial" w:eastAsia="Calibri" w:hAnsi="Arial" w:cs="Arial"/>
                <w:bCs/>
                <w:iCs/>
                <w:color w:val="000000" w:themeColor="text1"/>
              </w:rPr>
              <w:t xml:space="preserve"> processes, which include </w:t>
            </w:r>
            <w:r w:rsidRPr="0087499A">
              <w:rPr>
                <w:rFonts w:ascii="Arial" w:eastAsia="Calibri" w:hAnsi="Arial" w:cs="Arial"/>
                <w:bCs/>
                <w:iCs/>
                <w:color w:val="000000" w:themeColor="text1"/>
              </w:rPr>
              <w:t xml:space="preserve">pre-employment assessments, </w:t>
            </w:r>
            <w:r w:rsidR="00F444E1" w:rsidRPr="0087499A">
              <w:rPr>
                <w:rFonts w:ascii="Arial" w:eastAsia="Calibri" w:hAnsi="Arial" w:cs="Arial"/>
                <w:bCs/>
                <w:iCs/>
                <w:color w:val="000000" w:themeColor="text1"/>
              </w:rPr>
              <w:t xml:space="preserve">are </w:t>
            </w:r>
            <w:r w:rsidRPr="0087499A">
              <w:rPr>
                <w:rFonts w:ascii="Arial" w:eastAsia="Calibri" w:hAnsi="Arial" w:cs="Arial"/>
                <w:bCs/>
                <w:iCs/>
                <w:color w:val="000000" w:themeColor="text1"/>
              </w:rPr>
              <w:t xml:space="preserve">the responsibility of the </w:t>
            </w:r>
            <w:r w:rsidR="0087499A" w:rsidRPr="0087499A">
              <w:rPr>
                <w:rFonts w:ascii="Arial" w:eastAsia="Calibri" w:hAnsi="Arial" w:cs="Arial"/>
                <w:bCs/>
                <w:iCs/>
                <w:color w:val="000000" w:themeColor="text1"/>
              </w:rPr>
              <w:t>employing trusts</w:t>
            </w:r>
            <w:r w:rsidRPr="0087499A">
              <w:rPr>
                <w:rFonts w:ascii="Arial" w:eastAsia="Calibri" w:hAnsi="Arial" w:cs="Arial"/>
                <w:bCs/>
                <w:iCs/>
                <w:color w:val="000000" w:themeColor="text1"/>
              </w:rPr>
              <w:t>.</w:t>
            </w:r>
            <w:r w:rsidR="00E966E3" w:rsidRPr="00680C9F">
              <w:rPr>
                <w:rFonts w:ascii="Arial" w:eastAsia="Calibri" w:hAnsi="Arial" w:cs="Arial"/>
                <w:bCs/>
                <w:iCs/>
                <w:color w:val="000000" w:themeColor="text1"/>
              </w:rPr>
              <w:t xml:space="preserve"> The </w:t>
            </w:r>
            <w:r w:rsidR="00B61F60">
              <w:rPr>
                <w:rFonts w:ascii="Arial" w:eastAsia="Calibri" w:hAnsi="Arial" w:cs="Arial"/>
                <w:bCs/>
                <w:iCs/>
                <w:color w:val="000000" w:themeColor="text1"/>
              </w:rPr>
              <w:t>Learning and Development Agreement (</w:t>
            </w:r>
            <w:r w:rsidR="00E966E3" w:rsidRPr="00680C9F">
              <w:rPr>
                <w:rFonts w:ascii="Arial" w:eastAsia="Calibri" w:hAnsi="Arial" w:cs="Arial"/>
                <w:bCs/>
                <w:iCs/>
                <w:color w:val="000000" w:themeColor="text1"/>
              </w:rPr>
              <w:t>LDA</w:t>
            </w:r>
            <w:r w:rsidR="00B61F60">
              <w:rPr>
                <w:rFonts w:ascii="Arial" w:eastAsia="Calibri" w:hAnsi="Arial" w:cs="Arial"/>
                <w:bCs/>
                <w:iCs/>
                <w:color w:val="000000" w:themeColor="text1"/>
              </w:rPr>
              <w:t>)</w:t>
            </w:r>
            <w:r w:rsidR="00E966E3" w:rsidRPr="00680C9F">
              <w:rPr>
                <w:rFonts w:ascii="Arial" w:eastAsia="Calibri" w:hAnsi="Arial" w:cs="Arial"/>
                <w:bCs/>
                <w:iCs/>
                <w:color w:val="000000" w:themeColor="text1"/>
              </w:rPr>
              <w:t xml:space="preserve"> outlines the requirements in relation to </w:t>
            </w:r>
            <w:r w:rsidR="00E966E3">
              <w:rPr>
                <w:rFonts w:ascii="Arial" w:eastAsia="Calibri" w:hAnsi="Arial" w:cs="Arial"/>
                <w:bCs/>
                <w:iCs/>
                <w:color w:val="000000" w:themeColor="text1"/>
              </w:rPr>
              <w:t xml:space="preserve">the </w:t>
            </w:r>
            <w:r w:rsidR="00E966E3" w:rsidRPr="00680C9F">
              <w:rPr>
                <w:rFonts w:ascii="Arial" w:eastAsia="Calibri" w:hAnsi="Arial" w:cs="Arial"/>
                <w:bCs/>
                <w:iCs/>
                <w:color w:val="000000" w:themeColor="text1"/>
              </w:rPr>
              <w:t xml:space="preserve">level of support, supervision, and assessment </w:t>
            </w:r>
            <w:r w:rsidR="007E476A">
              <w:rPr>
                <w:rFonts w:ascii="Arial" w:eastAsia="Calibri" w:hAnsi="Arial" w:cs="Arial"/>
                <w:bCs/>
                <w:iCs/>
                <w:color w:val="000000" w:themeColor="text1"/>
              </w:rPr>
              <w:t>of</w:t>
            </w:r>
            <w:r w:rsidR="00E966E3" w:rsidRPr="00680C9F">
              <w:rPr>
                <w:rFonts w:ascii="Arial" w:eastAsia="Calibri" w:hAnsi="Arial" w:cs="Arial"/>
                <w:bCs/>
                <w:iCs/>
                <w:color w:val="000000" w:themeColor="text1"/>
              </w:rPr>
              <w:t xml:space="preserve"> trainees.</w:t>
            </w:r>
            <w:r w:rsidR="003A1505">
              <w:rPr>
                <w:rFonts w:ascii="Arial" w:eastAsia="Calibri" w:hAnsi="Arial" w:cs="Arial"/>
                <w:bCs/>
                <w:iCs/>
                <w:color w:val="000000" w:themeColor="text1"/>
              </w:rPr>
              <w:t xml:space="preserve"> </w:t>
            </w:r>
            <w:r w:rsidR="00E35181">
              <w:rPr>
                <w:rFonts w:ascii="Arial" w:eastAsia="Calibri" w:hAnsi="Arial" w:cs="Arial"/>
                <w:bCs/>
                <w:iCs/>
                <w:color w:val="000000" w:themeColor="text1"/>
              </w:rPr>
              <w:t>We were provided with examples of the completed Q</w:t>
            </w:r>
            <w:r w:rsidR="007E476A">
              <w:rPr>
                <w:rFonts w:ascii="Arial" w:eastAsia="Calibri" w:hAnsi="Arial" w:cs="Arial"/>
                <w:bCs/>
                <w:iCs/>
                <w:color w:val="000000" w:themeColor="text1"/>
              </w:rPr>
              <w:t xml:space="preserve">uality </w:t>
            </w:r>
            <w:r w:rsidR="00E35181">
              <w:rPr>
                <w:rFonts w:ascii="Arial" w:eastAsia="Calibri" w:hAnsi="Arial" w:cs="Arial"/>
                <w:bCs/>
                <w:iCs/>
                <w:color w:val="000000" w:themeColor="text1"/>
              </w:rPr>
              <w:t>M</w:t>
            </w:r>
            <w:r w:rsidR="007E476A">
              <w:rPr>
                <w:rFonts w:ascii="Arial" w:eastAsia="Calibri" w:hAnsi="Arial" w:cs="Arial"/>
                <w:bCs/>
                <w:iCs/>
                <w:color w:val="000000" w:themeColor="text1"/>
              </w:rPr>
              <w:t>anagement</w:t>
            </w:r>
            <w:r w:rsidR="00E35181">
              <w:rPr>
                <w:rFonts w:ascii="Arial" w:eastAsia="Calibri" w:hAnsi="Arial" w:cs="Arial"/>
                <w:bCs/>
                <w:iCs/>
                <w:color w:val="000000" w:themeColor="text1"/>
              </w:rPr>
              <w:t xml:space="preserve"> visit forms and checklists utilised as part of this process. </w:t>
            </w:r>
          </w:p>
          <w:p w14:paraId="799C89D9" w14:textId="77777777" w:rsidR="002D2352" w:rsidRPr="00F94999" w:rsidRDefault="002D2352" w:rsidP="00FA5EC0">
            <w:pPr>
              <w:contextualSpacing/>
              <w:rPr>
                <w:rFonts w:ascii="Arial" w:eastAsia="Calibri" w:hAnsi="Arial" w:cs="Arial"/>
                <w:bCs/>
                <w:iCs/>
                <w:color w:val="000000" w:themeColor="text1"/>
              </w:rPr>
            </w:pPr>
          </w:p>
          <w:p w14:paraId="5A45EC82" w14:textId="58755B72" w:rsidR="00FA5EC0" w:rsidRDefault="00FA5EC0" w:rsidP="00D6729D">
            <w:pPr>
              <w:contextualSpacing/>
              <w:rPr>
                <w:rFonts w:ascii="Arial" w:eastAsia="Calibri" w:hAnsi="Arial" w:cs="Arial"/>
                <w:bCs/>
                <w:iCs/>
                <w:color w:val="000000" w:themeColor="text1"/>
              </w:rPr>
            </w:pPr>
            <w:r w:rsidRPr="00F94999">
              <w:rPr>
                <w:rFonts w:ascii="Arial" w:eastAsia="Calibri" w:hAnsi="Arial" w:cs="Arial"/>
                <w:bCs/>
                <w:iCs/>
                <w:color w:val="000000" w:themeColor="text1"/>
              </w:rPr>
              <w:t xml:space="preserve">There </w:t>
            </w:r>
            <w:r w:rsidR="000D31F5">
              <w:rPr>
                <w:rFonts w:ascii="Arial" w:eastAsia="Calibri" w:hAnsi="Arial" w:cs="Arial"/>
                <w:bCs/>
                <w:iCs/>
                <w:color w:val="000000" w:themeColor="text1"/>
              </w:rPr>
              <w:t xml:space="preserve">initially </w:t>
            </w:r>
            <w:r w:rsidRPr="00F94999">
              <w:rPr>
                <w:rFonts w:ascii="Arial" w:eastAsia="Calibri" w:hAnsi="Arial" w:cs="Arial"/>
                <w:bCs/>
                <w:iCs/>
                <w:color w:val="000000" w:themeColor="text1"/>
              </w:rPr>
              <w:t>appear</w:t>
            </w:r>
            <w:r w:rsidR="00F94999" w:rsidRPr="00F94999">
              <w:rPr>
                <w:rFonts w:ascii="Arial" w:eastAsia="Calibri" w:hAnsi="Arial" w:cs="Arial"/>
                <w:bCs/>
                <w:iCs/>
                <w:color w:val="000000" w:themeColor="text1"/>
              </w:rPr>
              <w:t>ed</w:t>
            </w:r>
            <w:r w:rsidRPr="00F94999">
              <w:rPr>
                <w:rFonts w:ascii="Arial" w:eastAsia="Calibri" w:hAnsi="Arial" w:cs="Arial"/>
                <w:bCs/>
                <w:iCs/>
                <w:color w:val="000000" w:themeColor="text1"/>
              </w:rPr>
              <w:t xml:space="preserve"> to be a lack of evidence demonstrating how </w:t>
            </w:r>
            <w:r w:rsidR="00F94999" w:rsidRPr="00F94999">
              <w:rPr>
                <w:rFonts w:ascii="Arial" w:eastAsia="Calibri" w:hAnsi="Arial" w:cs="Arial"/>
                <w:bCs/>
                <w:iCs/>
                <w:color w:val="000000" w:themeColor="text1"/>
              </w:rPr>
              <w:t>trainees</w:t>
            </w:r>
            <w:r w:rsidRPr="00F94999">
              <w:rPr>
                <w:rFonts w:ascii="Arial" w:eastAsia="Calibri" w:hAnsi="Arial" w:cs="Arial"/>
                <w:bCs/>
                <w:iCs/>
                <w:color w:val="000000" w:themeColor="text1"/>
              </w:rPr>
              <w:t xml:space="preserve"> are assessed at different stages</w:t>
            </w:r>
            <w:r w:rsidR="00F94999" w:rsidRPr="00F94999">
              <w:rPr>
                <w:rFonts w:ascii="Arial" w:eastAsia="Calibri" w:hAnsi="Arial" w:cs="Arial"/>
                <w:bCs/>
                <w:iCs/>
                <w:color w:val="000000" w:themeColor="text1"/>
              </w:rPr>
              <w:t>,</w:t>
            </w:r>
            <w:r w:rsidRPr="00F94999">
              <w:rPr>
                <w:rFonts w:ascii="Arial" w:eastAsia="Calibri" w:hAnsi="Arial" w:cs="Arial"/>
                <w:bCs/>
                <w:iCs/>
                <w:color w:val="000000" w:themeColor="text1"/>
              </w:rPr>
              <w:t xml:space="preserve"> so that the</w:t>
            </w:r>
            <w:r w:rsidR="00152A4E">
              <w:rPr>
                <w:rFonts w:ascii="Arial" w:eastAsia="Calibri" w:hAnsi="Arial" w:cs="Arial"/>
                <w:bCs/>
                <w:iCs/>
                <w:color w:val="000000" w:themeColor="text1"/>
              </w:rPr>
              <w:t xml:space="preserve"> local office</w:t>
            </w:r>
            <w:r w:rsidRPr="00F94999">
              <w:rPr>
                <w:rFonts w:ascii="Arial" w:eastAsia="Calibri" w:hAnsi="Arial" w:cs="Arial"/>
                <w:bCs/>
                <w:iCs/>
                <w:color w:val="000000" w:themeColor="text1"/>
              </w:rPr>
              <w:t xml:space="preserve"> can be </w:t>
            </w:r>
            <w:r w:rsidR="00F94999" w:rsidRPr="00F94999">
              <w:rPr>
                <w:rFonts w:ascii="Arial" w:eastAsia="Calibri" w:hAnsi="Arial" w:cs="Arial"/>
                <w:bCs/>
                <w:iCs/>
                <w:color w:val="000000" w:themeColor="text1"/>
              </w:rPr>
              <w:t>assured that t</w:t>
            </w:r>
            <w:r w:rsidRPr="00F94999">
              <w:rPr>
                <w:rFonts w:ascii="Arial" w:eastAsia="Calibri" w:hAnsi="Arial" w:cs="Arial"/>
                <w:bCs/>
                <w:iCs/>
                <w:color w:val="000000" w:themeColor="text1"/>
              </w:rPr>
              <w:t xml:space="preserve">rainees are safe to treat patients at the levels required prior to </w:t>
            </w:r>
            <w:r w:rsidR="007E476A">
              <w:rPr>
                <w:rFonts w:ascii="Arial" w:eastAsia="Calibri" w:hAnsi="Arial" w:cs="Arial"/>
                <w:bCs/>
                <w:iCs/>
                <w:color w:val="000000" w:themeColor="text1"/>
              </w:rPr>
              <w:t xml:space="preserve">them </w:t>
            </w:r>
            <w:r w:rsidRPr="00F94999">
              <w:rPr>
                <w:rFonts w:ascii="Arial" w:eastAsia="Calibri" w:hAnsi="Arial" w:cs="Arial"/>
                <w:bCs/>
                <w:iCs/>
                <w:color w:val="000000" w:themeColor="text1"/>
              </w:rPr>
              <w:t>treating patients</w:t>
            </w:r>
            <w:r w:rsidRPr="00FA5EC0">
              <w:rPr>
                <w:rFonts w:ascii="Arial" w:eastAsia="Calibri" w:hAnsi="Arial" w:cs="Arial"/>
                <w:bCs/>
                <w:iCs/>
                <w:color w:val="7030A0"/>
              </w:rPr>
              <w:t xml:space="preserve">. </w:t>
            </w:r>
            <w:r w:rsidR="00F94999" w:rsidRPr="00F94999">
              <w:rPr>
                <w:rFonts w:ascii="Arial" w:eastAsia="Calibri" w:hAnsi="Arial" w:cs="Arial"/>
                <w:bCs/>
                <w:iCs/>
                <w:color w:val="000000" w:themeColor="text1"/>
              </w:rPr>
              <w:t xml:space="preserve">Assurance was provided under  </w:t>
            </w:r>
            <w:r w:rsidR="00405323" w:rsidRPr="00F94999">
              <w:rPr>
                <w:rFonts w:ascii="Arial" w:eastAsia="Calibri" w:hAnsi="Arial" w:cs="Arial"/>
                <w:bCs/>
                <w:iCs/>
                <w:color w:val="000000" w:themeColor="text1"/>
              </w:rPr>
              <w:t>Requirement</w:t>
            </w:r>
            <w:r w:rsidR="00463353">
              <w:rPr>
                <w:rFonts w:ascii="Arial" w:eastAsia="Calibri" w:hAnsi="Arial" w:cs="Arial"/>
                <w:bCs/>
                <w:iCs/>
                <w:color w:val="000000" w:themeColor="text1"/>
              </w:rPr>
              <w:t xml:space="preserve">s 8 </w:t>
            </w:r>
            <w:r w:rsidR="00240617">
              <w:rPr>
                <w:rFonts w:ascii="Arial" w:eastAsia="Calibri" w:hAnsi="Arial" w:cs="Arial"/>
                <w:bCs/>
                <w:iCs/>
                <w:color w:val="000000" w:themeColor="text1"/>
              </w:rPr>
              <w:t>and</w:t>
            </w:r>
            <w:r w:rsidR="00463353">
              <w:rPr>
                <w:rFonts w:ascii="Arial" w:eastAsia="Calibri" w:hAnsi="Arial" w:cs="Arial"/>
                <w:bCs/>
                <w:iCs/>
                <w:color w:val="000000" w:themeColor="text1"/>
              </w:rPr>
              <w:t xml:space="preserve"> 12</w:t>
            </w:r>
            <w:r w:rsidR="00405323" w:rsidRPr="00F94999">
              <w:rPr>
                <w:rFonts w:ascii="Arial" w:eastAsia="Calibri" w:hAnsi="Arial" w:cs="Arial"/>
                <w:bCs/>
                <w:iCs/>
                <w:color w:val="000000" w:themeColor="text1"/>
              </w:rPr>
              <w:t>,</w:t>
            </w:r>
            <w:r w:rsidR="00F94999" w:rsidRPr="00F94999">
              <w:rPr>
                <w:rFonts w:ascii="Arial" w:eastAsia="Calibri" w:hAnsi="Arial" w:cs="Arial"/>
                <w:bCs/>
                <w:iCs/>
                <w:color w:val="000000" w:themeColor="text1"/>
              </w:rPr>
              <w:t xml:space="preserve"> and it is clear that trainees</w:t>
            </w:r>
            <w:r w:rsidRPr="00F94999">
              <w:rPr>
                <w:rFonts w:ascii="Arial" w:eastAsia="Calibri" w:hAnsi="Arial" w:cs="Arial"/>
                <w:bCs/>
                <w:iCs/>
                <w:color w:val="000000" w:themeColor="text1"/>
              </w:rPr>
              <w:t xml:space="preserve"> are safe to treat patients through the system of supervision and appraisal by Educational and Clinical Supervisors</w:t>
            </w:r>
            <w:r w:rsidR="005E4653">
              <w:rPr>
                <w:rFonts w:ascii="Arial" w:eastAsia="Calibri" w:hAnsi="Arial" w:cs="Arial"/>
                <w:bCs/>
                <w:iCs/>
                <w:color w:val="000000" w:themeColor="text1"/>
              </w:rPr>
              <w:t xml:space="preserve"> and</w:t>
            </w:r>
            <w:r w:rsidR="00B61F60">
              <w:rPr>
                <w:rFonts w:ascii="Arial" w:eastAsia="Calibri" w:hAnsi="Arial" w:cs="Arial"/>
                <w:bCs/>
                <w:iCs/>
                <w:color w:val="000000" w:themeColor="text1"/>
              </w:rPr>
              <w:t xml:space="preserve"> Annual Review of Competence Progression</w:t>
            </w:r>
            <w:r w:rsidR="005E4653">
              <w:rPr>
                <w:rFonts w:ascii="Arial" w:eastAsia="Calibri" w:hAnsi="Arial" w:cs="Arial"/>
                <w:bCs/>
                <w:iCs/>
                <w:color w:val="000000" w:themeColor="text1"/>
              </w:rPr>
              <w:t xml:space="preserve"> </w:t>
            </w:r>
            <w:r w:rsidR="00B61F60">
              <w:rPr>
                <w:rFonts w:ascii="Arial" w:eastAsia="Calibri" w:hAnsi="Arial" w:cs="Arial"/>
                <w:bCs/>
                <w:iCs/>
                <w:color w:val="000000" w:themeColor="text1"/>
              </w:rPr>
              <w:t>(</w:t>
            </w:r>
            <w:r w:rsidR="005E4653">
              <w:rPr>
                <w:rFonts w:ascii="Arial" w:eastAsia="Calibri" w:hAnsi="Arial" w:cs="Arial"/>
                <w:bCs/>
                <w:iCs/>
                <w:color w:val="000000" w:themeColor="text1"/>
              </w:rPr>
              <w:t>ARCP</w:t>
            </w:r>
            <w:r w:rsidR="00B61F60">
              <w:rPr>
                <w:rFonts w:ascii="Arial" w:eastAsia="Calibri" w:hAnsi="Arial" w:cs="Arial"/>
                <w:bCs/>
                <w:iCs/>
                <w:color w:val="000000" w:themeColor="text1"/>
              </w:rPr>
              <w:t>)</w:t>
            </w:r>
            <w:r w:rsidR="005E4653">
              <w:rPr>
                <w:rFonts w:ascii="Arial" w:eastAsia="Calibri" w:hAnsi="Arial" w:cs="Arial"/>
                <w:bCs/>
                <w:iCs/>
                <w:color w:val="000000" w:themeColor="text1"/>
              </w:rPr>
              <w:t xml:space="preserve"> panels</w:t>
            </w:r>
            <w:r w:rsidRPr="00F94999">
              <w:rPr>
                <w:rFonts w:ascii="Arial" w:eastAsia="Calibri" w:hAnsi="Arial" w:cs="Arial"/>
                <w:bCs/>
                <w:iCs/>
                <w:color w:val="000000" w:themeColor="text1"/>
              </w:rPr>
              <w:t xml:space="preserve">. </w:t>
            </w:r>
            <w:r w:rsidR="005E4653" w:rsidRPr="005E4653">
              <w:rPr>
                <w:rFonts w:ascii="Arial" w:eastAsia="Calibri" w:hAnsi="Arial" w:cs="Arial"/>
                <w:bCs/>
                <w:iCs/>
                <w:color w:val="000000" w:themeColor="text1"/>
              </w:rPr>
              <w:t xml:space="preserve">Evidence was </w:t>
            </w:r>
            <w:r w:rsidR="003A1505">
              <w:rPr>
                <w:rFonts w:ascii="Arial" w:eastAsia="Calibri" w:hAnsi="Arial" w:cs="Arial"/>
                <w:bCs/>
                <w:iCs/>
                <w:color w:val="000000" w:themeColor="text1"/>
              </w:rPr>
              <w:t xml:space="preserve">submitted </w:t>
            </w:r>
            <w:r w:rsidR="005E4653" w:rsidRPr="005E4653">
              <w:rPr>
                <w:rFonts w:ascii="Arial" w:eastAsia="Calibri" w:hAnsi="Arial" w:cs="Arial"/>
                <w:bCs/>
                <w:iCs/>
                <w:color w:val="000000" w:themeColor="text1"/>
              </w:rPr>
              <w:t>that provid</w:t>
            </w:r>
            <w:r w:rsidR="003A1505">
              <w:rPr>
                <w:rFonts w:ascii="Arial" w:eastAsia="Calibri" w:hAnsi="Arial" w:cs="Arial"/>
                <w:bCs/>
                <w:iCs/>
                <w:color w:val="000000" w:themeColor="text1"/>
              </w:rPr>
              <w:t>ed</w:t>
            </w:r>
            <w:r w:rsidR="005E4653" w:rsidRPr="005E4653">
              <w:rPr>
                <w:rFonts w:ascii="Arial" w:eastAsia="Calibri" w:hAnsi="Arial" w:cs="Arial"/>
                <w:bCs/>
                <w:iCs/>
                <w:color w:val="000000" w:themeColor="text1"/>
              </w:rPr>
              <w:t xml:space="preserve"> assurance that incident reporting is in place for HEE SW TVW.</w:t>
            </w:r>
          </w:p>
          <w:p w14:paraId="394F2EA7" w14:textId="2DBD813B" w:rsidR="00941659" w:rsidRDefault="00941659" w:rsidP="00D6729D">
            <w:pPr>
              <w:contextualSpacing/>
              <w:rPr>
                <w:rFonts w:ascii="Arial" w:eastAsia="Calibri" w:hAnsi="Arial" w:cs="Arial"/>
                <w:bCs/>
                <w:iCs/>
                <w:color w:val="000000" w:themeColor="text1"/>
              </w:rPr>
            </w:pPr>
          </w:p>
          <w:p w14:paraId="5A136FA0" w14:textId="215CE4B9" w:rsidR="00941659" w:rsidRDefault="00941659" w:rsidP="00D6729D">
            <w:pPr>
              <w:contextualSpacing/>
              <w:rPr>
                <w:rFonts w:ascii="Arial" w:eastAsia="Calibri" w:hAnsi="Arial" w:cs="Arial"/>
                <w:bCs/>
                <w:iCs/>
                <w:color w:val="000000" w:themeColor="text1"/>
              </w:rPr>
            </w:pPr>
            <w:r>
              <w:rPr>
                <w:rFonts w:ascii="Arial" w:eastAsia="Calibri" w:hAnsi="Arial" w:cs="Arial"/>
                <w:bCs/>
                <w:iCs/>
                <w:color w:val="000000" w:themeColor="text1"/>
              </w:rPr>
              <w:lastRenderedPageBreak/>
              <w:t xml:space="preserve">We consider that this requirement is </w:t>
            </w:r>
            <w:r w:rsidRPr="00D8280A">
              <w:rPr>
                <w:rFonts w:ascii="Arial" w:eastAsia="Calibri" w:hAnsi="Arial" w:cs="Arial"/>
                <w:b/>
                <w:iCs/>
                <w:color w:val="000000" w:themeColor="text1"/>
              </w:rPr>
              <w:t>met</w:t>
            </w:r>
            <w:r>
              <w:rPr>
                <w:rFonts w:ascii="Arial" w:eastAsia="Calibri" w:hAnsi="Arial" w:cs="Arial"/>
                <w:bCs/>
                <w:iCs/>
                <w:color w:val="000000" w:themeColor="text1"/>
              </w:rPr>
              <w:t>.</w:t>
            </w:r>
          </w:p>
          <w:p w14:paraId="2AF279C4" w14:textId="33361192" w:rsidR="00E35181" w:rsidRDefault="00E35181" w:rsidP="00D6729D">
            <w:pPr>
              <w:contextualSpacing/>
              <w:rPr>
                <w:rFonts w:ascii="Arial" w:eastAsia="Calibri" w:hAnsi="Arial" w:cs="Arial"/>
                <w:bCs/>
                <w:iCs/>
                <w:color w:val="000000" w:themeColor="text1"/>
              </w:rPr>
            </w:pPr>
          </w:p>
          <w:p w14:paraId="4D617D4A" w14:textId="33AB50F8" w:rsidR="00E2148E" w:rsidRDefault="005D5820" w:rsidP="00D6729D">
            <w:pPr>
              <w:contextualSpacing/>
              <w:rPr>
                <w:rFonts w:ascii="Arial" w:hAnsi="Arial" w:cs="Arial"/>
                <w:b/>
                <w:iCs/>
              </w:rPr>
            </w:pPr>
            <w:r>
              <w:rPr>
                <w:rFonts w:ascii="Arial" w:eastAsia="Calibri" w:hAnsi="Arial" w:cs="Arial"/>
                <w:b/>
                <w:color w:val="000000" w:themeColor="text1"/>
              </w:rPr>
              <w:t>P</w:t>
            </w:r>
            <w:r w:rsidR="00E2148E">
              <w:rPr>
                <w:rFonts w:ascii="Arial" w:eastAsia="Calibri" w:hAnsi="Arial" w:cs="Arial"/>
                <w:b/>
                <w:color w:val="000000" w:themeColor="text1"/>
              </w:rPr>
              <w:t xml:space="preserve">2: </w:t>
            </w:r>
            <w:r w:rsidR="009755BA" w:rsidRPr="009755BA">
              <w:rPr>
                <w:rFonts w:ascii="Arial" w:hAnsi="Arial" w:cs="Arial"/>
                <w:b/>
                <w:iCs/>
              </w:rPr>
              <w:t>Programme providers must have a policy in place to inform patients that they will be treated by specialty trainees and providers should confirm patient recognition of this policy.</w:t>
            </w:r>
            <w:r w:rsidR="009755BA">
              <w:rPr>
                <w:rFonts w:ascii="Arial" w:hAnsi="Arial" w:cs="Arial"/>
                <w:b/>
                <w:iCs/>
              </w:rPr>
              <w:t xml:space="preserve"> </w:t>
            </w:r>
            <w:r w:rsidR="00DB4AFF">
              <w:rPr>
                <w:rFonts w:ascii="Arial" w:hAnsi="Arial" w:cs="Arial"/>
                <w:b/>
                <w:iCs/>
              </w:rPr>
              <w:t>(</w:t>
            </w:r>
            <w:r w:rsidR="009755BA">
              <w:rPr>
                <w:rFonts w:ascii="Arial" w:hAnsi="Arial" w:cs="Arial"/>
                <w:b/>
                <w:iCs/>
              </w:rPr>
              <w:t xml:space="preserve">Requirement </w:t>
            </w:r>
            <w:r w:rsidR="00A22C30" w:rsidRPr="0004225B">
              <w:rPr>
                <w:rFonts w:ascii="Arial" w:eastAsia="Calibri" w:hAnsi="Arial" w:cs="Arial"/>
                <w:b/>
                <w:iCs/>
                <w:color w:val="000000" w:themeColor="text1"/>
              </w:rPr>
              <w:t>Partly Met</w:t>
            </w:r>
            <w:r w:rsidR="00DB4AFF">
              <w:rPr>
                <w:rFonts w:ascii="Arial" w:hAnsi="Arial" w:cs="Arial"/>
                <w:b/>
                <w:iCs/>
              </w:rPr>
              <w:t>)</w:t>
            </w:r>
            <w:r w:rsidR="009755BA">
              <w:rPr>
                <w:rFonts w:ascii="Arial" w:hAnsi="Arial" w:cs="Arial"/>
                <w:b/>
                <w:iCs/>
              </w:rPr>
              <w:t>.</w:t>
            </w:r>
          </w:p>
          <w:p w14:paraId="4E4E0EE9" w14:textId="7C470757" w:rsidR="007E476A" w:rsidRDefault="007E476A" w:rsidP="00D6729D">
            <w:pPr>
              <w:contextualSpacing/>
              <w:rPr>
                <w:rFonts w:ascii="Arial" w:hAnsi="Arial" w:cs="Arial"/>
                <w:b/>
                <w:iCs/>
              </w:rPr>
            </w:pPr>
          </w:p>
          <w:p w14:paraId="0D3A6773" w14:textId="48E44A84" w:rsidR="007E476A" w:rsidRDefault="007E476A" w:rsidP="007E476A">
            <w:pPr>
              <w:contextualSpacing/>
              <w:rPr>
                <w:rFonts w:ascii="Arial" w:hAnsi="Arial" w:cs="Arial"/>
                <w:bCs/>
                <w:iCs/>
              </w:rPr>
            </w:pPr>
            <w:r>
              <w:rPr>
                <w:rFonts w:ascii="Arial" w:hAnsi="Arial" w:cs="Arial"/>
                <w:bCs/>
                <w:iCs/>
              </w:rPr>
              <w:t xml:space="preserve">There are two </w:t>
            </w:r>
            <w:r w:rsidR="00B02BE9">
              <w:rPr>
                <w:rFonts w:ascii="Arial" w:hAnsi="Arial" w:cs="Arial"/>
                <w:bCs/>
                <w:iCs/>
              </w:rPr>
              <w:t xml:space="preserve">aspects </w:t>
            </w:r>
            <w:r>
              <w:rPr>
                <w:rFonts w:ascii="Arial" w:hAnsi="Arial" w:cs="Arial"/>
                <w:bCs/>
                <w:iCs/>
              </w:rPr>
              <w:t>to this requirement:</w:t>
            </w:r>
          </w:p>
          <w:p w14:paraId="149F4E6B" w14:textId="67336DB6" w:rsidR="007E476A" w:rsidRPr="00BF3165" w:rsidRDefault="00BF3165" w:rsidP="00897BF2">
            <w:pPr>
              <w:pStyle w:val="ListParagraph"/>
              <w:numPr>
                <w:ilvl w:val="0"/>
                <w:numId w:val="7"/>
              </w:numPr>
              <w:spacing w:after="0" w:line="240" w:lineRule="auto"/>
              <w:rPr>
                <w:rFonts w:ascii="Arial" w:hAnsi="Arial" w:cs="Arial"/>
                <w:bCs/>
                <w:iCs/>
              </w:rPr>
            </w:pPr>
            <w:r>
              <w:rPr>
                <w:rFonts w:ascii="Arial" w:hAnsi="Arial" w:cs="Arial"/>
                <w:bCs/>
                <w:iCs/>
              </w:rPr>
              <w:t>p</w:t>
            </w:r>
            <w:r w:rsidR="007E476A" w:rsidRPr="00BF3165">
              <w:rPr>
                <w:rFonts w:ascii="Arial" w:hAnsi="Arial" w:cs="Arial"/>
                <w:bCs/>
                <w:iCs/>
              </w:rPr>
              <w:t>rogramme providers must have a policy in place to inform patients that they will be treated by Specialty Trainees</w:t>
            </w:r>
          </w:p>
          <w:p w14:paraId="3FE4D8EB" w14:textId="6EC5F2CA" w:rsidR="00114853" w:rsidRDefault="007E476A" w:rsidP="00114853">
            <w:pPr>
              <w:pStyle w:val="ListParagraph"/>
              <w:numPr>
                <w:ilvl w:val="0"/>
                <w:numId w:val="7"/>
              </w:numPr>
              <w:spacing w:after="0" w:line="240" w:lineRule="auto"/>
              <w:rPr>
                <w:rFonts w:ascii="Arial" w:hAnsi="Arial" w:cs="Arial"/>
                <w:bCs/>
                <w:iCs/>
              </w:rPr>
            </w:pPr>
            <w:r w:rsidRPr="00BF3165">
              <w:rPr>
                <w:rFonts w:ascii="Arial" w:hAnsi="Arial" w:cs="Arial"/>
                <w:bCs/>
                <w:iCs/>
              </w:rPr>
              <w:t>providers should confirm patient recognition of this policy.</w:t>
            </w:r>
          </w:p>
          <w:p w14:paraId="3B001729" w14:textId="77777777" w:rsidR="00C93B85" w:rsidRPr="00114853" w:rsidRDefault="00C93B85" w:rsidP="00C93B85">
            <w:pPr>
              <w:pStyle w:val="ListParagraph"/>
              <w:spacing w:after="0" w:line="240" w:lineRule="auto"/>
              <w:rPr>
                <w:rFonts w:ascii="Arial" w:hAnsi="Arial" w:cs="Arial"/>
                <w:bCs/>
                <w:iCs/>
              </w:rPr>
            </w:pPr>
          </w:p>
          <w:p w14:paraId="20701394" w14:textId="34088F00" w:rsidR="0011247E" w:rsidRDefault="0011247E" w:rsidP="00D6729D">
            <w:pPr>
              <w:contextualSpacing/>
              <w:rPr>
                <w:rFonts w:ascii="Arial" w:hAnsi="Arial" w:cs="Arial"/>
                <w:bCs/>
                <w:iCs/>
              </w:rPr>
            </w:pPr>
            <w:r>
              <w:rPr>
                <w:rFonts w:ascii="Arial" w:hAnsi="Arial" w:cs="Arial"/>
                <w:bCs/>
                <w:iCs/>
              </w:rPr>
              <w:t xml:space="preserve">In the </w:t>
            </w:r>
            <w:r w:rsidR="00B61F60">
              <w:rPr>
                <w:rFonts w:ascii="Arial" w:hAnsi="Arial" w:cs="Arial"/>
                <w:bCs/>
                <w:iCs/>
              </w:rPr>
              <w:t>Self-assessment</w:t>
            </w:r>
            <w:r>
              <w:rPr>
                <w:rFonts w:ascii="Arial" w:hAnsi="Arial" w:cs="Arial"/>
                <w:bCs/>
                <w:iCs/>
              </w:rPr>
              <w:t xml:space="preserve"> we were advised that HEE SW TVW are assured that all </w:t>
            </w:r>
            <w:r w:rsidR="007E476A">
              <w:rPr>
                <w:rFonts w:ascii="Arial" w:hAnsi="Arial" w:cs="Arial"/>
                <w:bCs/>
                <w:iCs/>
              </w:rPr>
              <w:t>Sp</w:t>
            </w:r>
            <w:r w:rsidR="001C3C05">
              <w:rPr>
                <w:rFonts w:ascii="Arial" w:hAnsi="Arial" w:cs="Arial"/>
                <w:bCs/>
                <w:iCs/>
              </w:rPr>
              <w:t>ecialty T</w:t>
            </w:r>
            <w:r>
              <w:rPr>
                <w:rFonts w:ascii="Arial" w:hAnsi="Arial" w:cs="Arial"/>
                <w:bCs/>
                <w:iCs/>
              </w:rPr>
              <w:t>rainees are aware of their obligation to identify themselves as a trainee</w:t>
            </w:r>
            <w:r w:rsidR="00B547CD">
              <w:rPr>
                <w:rFonts w:ascii="Arial" w:hAnsi="Arial" w:cs="Arial"/>
                <w:bCs/>
                <w:iCs/>
              </w:rPr>
              <w:t>,</w:t>
            </w:r>
            <w:r>
              <w:rPr>
                <w:rFonts w:ascii="Arial" w:hAnsi="Arial" w:cs="Arial"/>
                <w:bCs/>
                <w:iCs/>
              </w:rPr>
              <w:t xml:space="preserve"> and to wear a name </w:t>
            </w:r>
            <w:r w:rsidR="00B61F60">
              <w:rPr>
                <w:rFonts w:ascii="Arial" w:hAnsi="Arial" w:cs="Arial"/>
                <w:bCs/>
                <w:iCs/>
              </w:rPr>
              <w:t xml:space="preserve">badge at all </w:t>
            </w:r>
            <w:r w:rsidR="0062724F">
              <w:rPr>
                <w:rFonts w:ascii="Arial" w:hAnsi="Arial" w:cs="Arial"/>
                <w:bCs/>
                <w:iCs/>
              </w:rPr>
              <w:t>times.</w:t>
            </w:r>
            <w:r w:rsidR="00331400">
              <w:rPr>
                <w:rFonts w:ascii="Arial" w:hAnsi="Arial" w:cs="Arial"/>
                <w:bCs/>
                <w:iCs/>
              </w:rPr>
              <w:t xml:space="preserve"> </w:t>
            </w:r>
            <w:r>
              <w:rPr>
                <w:rFonts w:ascii="Arial" w:hAnsi="Arial" w:cs="Arial"/>
                <w:bCs/>
                <w:iCs/>
              </w:rPr>
              <w:t xml:space="preserve">The new post </w:t>
            </w:r>
            <w:r w:rsidR="00B61F60">
              <w:rPr>
                <w:rFonts w:ascii="Arial" w:hAnsi="Arial" w:cs="Arial"/>
                <w:bCs/>
                <w:iCs/>
              </w:rPr>
              <w:t>checklist</w:t>
            </w:r>
            <w:r>
              <w:rPr>
                <w:rFonts w:ascii="Arial" w:hAnsi="Arial" w:cs="Arial"/>
                <w:bCs/>
                <w:iCs/>
              </w:rPr>
              <w:t xml:space="preserve"> document confirms that HEE ensure </w:t>
            </w:r>
            <w:r w:rsidR="00C93B85">
              <w:rPr>
                <w:rFonts w:ascii="Arial" w:hAnsi="Arial" w:cs="Arial"/>
                <w:bCs/>
                <w:iCs/>
              </w:rPr>
              <w:t xml:space="preserve">local offices </w:t>
            </w:r>
            <w:r>
              <w:rPr>
                <w:rFonts w:ascii="Arial" w:hAnsi="Arial" w:cs="Arial"/>
                <w:bCs/>
                <w:iCs/>
              </w:rPr>
              <w:t>are adhering to this and it was evidenced that trainees are confirmed to have worn identification badges.</w:t>
            </w:r>
          </w:p>
          <w:p w14:paraId="29582CAA" w14:textId="36B63BD1" w:rsidR="00781DC6" w:rsidRDefault="00781DC6" w:rsidP="00D6729D">
            <w:pPr>
              <w:contextualSpacing/>
              <w:rPr>
                <w:rFonts w:ascii="Arial" w:hAnsi="Arial" w:cs="Arial"/>
                <w:bCs/>
                <w:iCs/>
              </w:rPr>
            </w:pPr>
          </w:p>
          <w:p w14:paraId="7DF27F0E" w14:textId="28FE2BE6" w:rsidR="00E35181" w:rsidRPr="004B5DB8" w:rsidRDefault="004714D6" w:rsidP="00D6729D">
            <w:pPr>
              <w:contextualSpacing/>
              <w:rPr>
                <w:rFonts w:ascii="Arial" w:hAnsi="Arial" w:cs="Arial"/>
                <w:bCs/>
                <w:iCs/>
              </w:rPr>
            </w:pPr>
            <w:r w:rsidRPr="004B5DB8">
              <w:rPr>
                <w:rFonts w:ascii="Arial" w:hAnsi="Arial" w:cs="Arial"/>
                <w:bCs/>
                <w:iCs/>
              </w:rPr>
              <w:t xml:space="preserve">We were provided with a range of evidence </w:t>
            </w:r>
            <w:r w:rsidR="002427A1">
              <w:rPr>
                <w:rFonts w:ascii="Arial" w:hAnsi="Arial" w:cs="Arial"/>
                <w:bCs/>
                <w:iCs/>
              </w:rPr>
              <w:t xml:space="preserve">under this requirement </w:t>
            </w:r>
            <w:r w:rsidR="007E476A">
              <w:rPr>
                <w:rFonts w:ascii="Arial" w:hAnsi="Arial" w:cs="Arial"/>
                <w:bCs/>
                <w:iCs/>
              </w:rPr>
              <w:t>including</w:t>
            </w:r>
            <w:r w:rsidR="004B5DB8" w:rsidRPr="004B5DB8">
              <w:rPr>
                <w:rFonts w:ascii="Arial" w:hAnsi="Arial" w:cs="Arial"/>
                <w:bCs/>
                <w:iCs/>
              </w:rPr>
              <w:t>:</w:t>
            </w:r>
          </w:p>
          <w:p w14:paraId="4279892E" w14:textId="4B908B1E" w:rsidR="004B5DB8" w:rsidRDefault="004B5DB8" w:rsidP="00D6729D">
            <w:pPr>
              <w:contextualSpacing/>
              <w:rPr>
                <w:rFonts w:ascii="Arial" w:hAnsi="Arial" w:cs="Arial"/>
                <w:b/>
                <w:iCs/>
              </w:rPr>
            </w:pPr>
          </w:p>
          <w:p w14:paraId="79B43D0C" w14:textId="651F82C5" w:rsidR="004B5DB8" w:rsidRPr="004B5DB8" w:rsidRDefault="004B5DB8" w:rsidP="00D6729D">
            <w:pPr>
              <w:contextualSpacing/>
              <w:rPr>
                <w:rFonts w:ascii="Arial" w:hAnsi="Arial" w:cs="Arial"/>
                <w:bCs/>
                <w:iCs/>
                <w:color w:val="000000" w:themeColor="text1"/>
              </w:rPr>
            </w:pPr>
            <w:r>
              <w:rPr>
                <w:rFonts w:ascii="Arial" w:hAnsi="Arial" w:cs="Arial"/>
                <w:b/>
                <w:iCs/>
              </w:rPr>
              <w:t xml:space="preserve">- </w:t>
            </w:r>
            <w:r w:rsidR="00E35181" w:rsidRPr="004B5DB8">
              <w:rPr>
                <w:rFonts w:ascii="Arial" w:hAnsi="Arial" w:cs="Arial"/>
                <w:bCs/>
                <w:iCs/>
                <w:color w:val="000000" w:themeColor="text1"/>
              </w:rPr>
              <w:t>Q</w:t>
            </w:r>
            <w:r w:rsidR="00C70773">
              <w:rPr>
                <w:rFonts w:ascii="Arial" w:hAnsi="Arial" w:cs="Arial"/>
                <w:bCs/>
                <w:iCs/>
                <w:color w:val="000000" w:themeColor="text1"/>
              </w:rPr>
              <w:t xml:space="preserve">uality </w:t>
            </w:r>
            <w:r w:rsidR="00E35181" w:rsidRPr="004B5DB8">
              <w:rPr>
                <w:rFonts w:ascii="Arial" w:hAnsi="Arial" w:cs="Arial"/>
                <w:bCs/>
                <w:iCs/>
                <w:color w:val="000000" w:themeColor="text1"/>
              </w:rPr>
              <w:t>M</w:t>
            </w:r>
            <w:r w:rsidR="00C70773">
              <w:rPr>
                <w:rFonts w:ascii="Arial" w:hAnsi="Arial" w:cs="Arial"/>
                <w:bCs/>
                <w:iCs/>
                <w:color w:val="000000" w:themeColor="text1"/>
              </w:rPr>
              <w:t>anagement (QM)</w:t>
            </w:r>
            <w:r w:rsidR="00E35181" w:rsidRPr="004B5DB8">
              <w:rPr>
                <w:rFonts w:ascii="Arial" w:hAnsi="Arial" w:cs="Arial"/>
                <w:bCs/>
                <w:iCs/>
                <w:color w:val="000000" w:themeColor="text1"/>
              </w:rPr>
              <w:t xml:space="preserve"> reports </w:t>
            </w:r>
          </w:p>
          <w:p w14:paraId="28155C19" w14:textId="77777777" w:rsidR="004B5DB8" w:rsidRDefault="004B5DB8" w:rsidP="00D6729D">
            <w:pPr>
              <w:contextualSpacing/>
              <w:rPr>
                <w:rFonts w:ascii="Arial" w:hAnsi="Arial" w:cs="Arial"/>
                <w:bCs/>
                <w:iCs/>
                <w:color w:val="000000" w:themeColor="text1"/>
              </w:rPr>
            </w:pPr>
            <w:r>
              <w:rPr>
                <w:rFonts w:ascii="Arial" w:hAnsi="Arial" w:cs="Arial"/>
                <w:bCs/>
                <w:iCs/>
                <w:color w:val="000000" w:themeColor="text1"/>
              </w:rPr>
              <w:t>- I</w:t>
            </w:r>
            <w:r w:rsidR="00E35181" w:rsidRPr="004B5DB8">
              <w:rPr>
                <w:rFonts w:ascii="Arial" w:hAnsi="Arial" w:cs="Arial"/>
                <w:bCs/>
                <w:iCs/>
                <w:color w:val="000000" w:themeColor="text1"/>
              </w:rPr>
              <w:t xml:space="preserve">nduction </w:t>
            </w:r>
            <w:r>
              <w:rPr>
                <w:rFonts w:ascii="Arial" w:hAnsi="Arial" w:cs="Arial"/>
                <w:bCs/>
                <w:iCs/>
                <w:color w:val="000000" w:themeColor="text1"/>
              </w:rPr>
              <w:t xml:space="preserve">presentation </w:t>
            </w:r>
            <w:r w:rsidR="00E35181" w:rsidRPr="004B5DB8">
              <w:rPr>
                <w:rFonts w:ascii="Arial" w:hAnsi="Arial" w:cs="Arial"/>
                <w:bCs/>
                <w:iCs/>
                <w:color w:val="000000" w:themeColor="text1"/>
              </w:rPr>
              <w:t>slides</w:t>
            </w:r>
          </w:p>
          <w:p w14:paraId="7FA4A3B4" w14:textId="445AE4D2" w:rsidR="004B5DB8" w:rsidRDefault="004B5DB8" w:rsidP="004B5DB8">
            <w:pPr>
              <w:contextualSpacing/>
              <w:rPr>
                <w:rFonts w:ascii="Arial" w:hAnsi="Arial" w:cs="Arial"/>
                <w:bCs/>
                <w:iCs/>
                <w:color w:val="000000" w:themeColor="text1"/>
              </w:rPr>
            </w:pPr>
            <w:r>
              <w:rPr>
                <w:rFonts w:ascii="Arial" w:hAnsi="Arial" w:cs="Arial"/>
                <w:bCs/>
                <w:iCs/>
                <w:color w:val="000000" w:themeColor="text1"/>
              </w:rPr>
              <w:t>- HEE Checklist for new and replacement posts</w:t>
            </w:r>
          </w:p>
          <w:p w14:paraId="6E092C32" w14:textId="0DFF45F7" w:rsidR="00EC07E6" w:rsidRDefault="00EC07E6" w:rsidP="004B5DB8">
            <w:pPr>
              <w:contextualSpacing/>
              <w:rPr>
                <w:rFonts w:ascii="Arial" w:hAnsi="Arial" w:cs="Arial"/>
                <w:bCs/>
                <w:iCs/>
                <w:color w:val="000000" w:themeColor="text1"/>
              </w:rPr>
            </w:pPr>
            <w:r>
              <w:rPr>
                <w:rFonts w:ascii="Arial" w:hAnsi="Arial" w:cs="Arial"/>
                <w:bCs/>
                <w:iCs/>
                <w:color w:val="000000" w:themeColor="text1"/>
              </w:rPr>
              <w:t>-</w:t>
            </w:r>
            <w:r w:rsidR="00694CD3">
              <w:rPr>
                <w:rFonts w:ascii="Arial" w:hAnsi="Arial" w:cs="Arial"/>
                <w:bCs/>
                <w:iCs/>
                <w:color w:val="000000" w:themeColor="text1"/>
              </w:rPr>
              <w:t xml:space="preserve"> </w:t>
            </w:r>
            <w:r>
              <w:rPr>
                <w:rFonts w:ascii="Arial" w:hAnsi="Arial" w:cs="Arial"/>
                <w:bCs/>
                <w:iCs/>
                <w:color w:val="000000" w:themeColor="text1"/>
              </w:rPr>
              <w:t>Examples of consent forms</w:t>
            </w:r>
          </w:p>
          <w:p w14:paraId="152BDB8A" w14:textId="210A3254" w:rsidR="007F7B89" w:rsidRDefault="007F7B89" w:rsidP="004B5DB8">
            <w:pPr>
              <w:contextualSpacing/>
              <w:rPr>
                <w:rFonts w:ascii="Arial" w:hAnsi="Arial" w:cs="Arial"/>
                <w:bCs/>
                <w:iCs/>
                <w:color w:val="000000" w:themeColor="text1"/>
              </w:rPr>
            </w:pPr>
            <w:r>
              <w:rPr>
                <w:rFonts w:ascii="Arial" w:hAnsi="Arial" w:cs="Arial"/>
                <w:bCs/>
                <w:iCs/>
                <w:color w:val="000000" w:themeColor="text1"/>
              </w:rPr>
              <w:t>-</w:t>
            </w:r>
            <w:r w:rsidR="000D2B8B">
              <w:rPr>
                <w:rFonts w:ascii="Arial" w:hAnsi="Arial" w:cs="Arial"/>
                <w:bCs/>
                <w:iCs/>
                <w:color w:val="000000" w:themeColor="text1"/>
              </w:rPr>
              <w:t xml:space="preserve"> </w:t>
            </w:r>
            <w:r>
              <w:rPr>
                <w:rFonts w:ascii="Arial" w:hAnsi="Arial" w:cs="Arial"/>
                <w:bCs/>
                <w:iCs/>
                <w:color w:val="000000" w:themeColor="text1"/>
              </w:rPr>
              <w:t>Patient information leaflets</w:t>
            </w:r>
          </w:p>
          <w:p w14:paraId="76981CC7" w14:textId="36931D2D" w:rsidR="00694CD3" w:rsidRDefault="00694CD3" w:rsidP="004B5DB8">
            <w:pPr>
              <w:contextualSpacing/>
              <w:rPr>
                <w:rFonts w:ascii="Arial" w:hAnsi="Arial" w:cs="Arial"/>
                <w:bCs/>
                <w:iCs/>
                <w:color w:val="000000" w:themeColor="text1"/>
              </w:rPr>
            </w:pPr>
            <w:r>
              <w:rPr>
                <w:rFonts w:ascii="Arial" w:hAnsi="Arial" w:cs="Arial"/>
                <w:bCs/>
                <w:iCs/>
                <w:color w:val="000000" w:themeColor="text1"/>
              </w:rPr>
              <w:t>-Consent to Examination or Treatment Policy</w:t>
            </w:r>
          </w:p>
          <w:p w14:paraId="23F216EC" w14:textId="19662B50" w:rsidR="0011247E" w:rsidRDefault="0011247E" w:rsidP="004B5DB8">
            <w:pPr>
              <w:contextualSpacing/>
              <w:rPr>
                <w:rFonts w:ascii="Arial" w:hAnsi="Arial" w:cs="Arial"/>
                <w:bCs/>
                <w:iCs/>
                <w:color w:val="000000" w:themeColor="text1"/>
              </w:rPr>
            </w:pPr>
          </w:p>
          <w:p w14:paraId="10A07946" w14:textId="04E8A878" w:rsidR="0011247E" w:rsidRDefault="00A709A1" w:rsidP="0011247E">
            <w:pPr>
              <w:contextualSpacing/>
              <w:rPr>
                <w:rFonts w:ascii="Arial" w:hAnsi="Arial" w:cs="Arial"/>
                <w:bCs/>
                <w:iCs/>
                <w:color w:val="000000" w:themeColor="text1"/>
              </w:rPr>
            </w:pPr>
            <w:r>
              <w:rPr>
                <w:rFonts w:ascii="Arial" w:hAnsi="Arial" w:cs="Arial"/>
                <w:bCs/>
                <w:iCs/>
                <w:color w:val="000000" w:themeColor="text1"/>
              </w:rPr>
              <w:t>The</w:t>
            </w:r>
            <w:r w:rsidR="000C2E1B">
              <w:rPr>
                <w:rFonts w:ascii="Arial" w:hAnsi="Arial" w:cs="Arial"/>
                <w:bCs/>
                <w:iCs/>
                <w:color w:val="000000" w:themeColor="text1"/>
              </w:rPr>
              <w:t xml:space="preserve"> </w:t>
            </w:r>
            <w:r w:rsidR="0011247E">
              <w:rPr>
                <w:rFonts w:ascii="Arial" w:hAnsi="Arial" w:cs="Arial"/>
                <w:bCs/>
                <w:iCs/>
                <w:color w:val="000000" w:themeColor="text1"/>
              </w:rPr>
              <w:t>evidence confirm</w:t>
            </w:r>
            <w:r>
              <w:rPr>
                <w:rFonts w:ascii="Arial" w:hAnsi="Arial" w:cs="Arial"/>
                <w:bCs/>
                <w:iCs/>
                <w:color w:val="000000" w:themeColor="text1"/>
              </w:rPr>
              <w:t>ed that</w:t>
            </w:r>
            <w:r w:rsidR="0011247E">
              <w:rPr>
                <w:rFonts w:ascii="Arial" w:hAnsi="Arial" w:cs="Arial"/>
                <w:bCs/>
                <w:iCs/>
                <w:color w:val="000000" w:themeColor="text1"/>
              </w:rPr>
              <w:t xml:space="preserve"> trainees are made aware of their responsibility to identify themselves as trainees prior to treatment and that the consent form must state their job title. This is covered as part of the HEE Induction training.</w:t>
            </w:r>
            <w:r w:rsidR="00C70773">
              <w:rPr>
                <w:rFonts w:ascii="Arial" w:hAnsi="Arial" w:cs="Arial"/>
                <w:bCs/>
                <w:iCs/>
                <w:color w:val="000000" w:themeColor="text1"/>
              </w:rPr>
              <w:t xml:space="preserve"> </w:t>
            </w:r>
            <w:r w:rsidR="007A3E1B">
              <w:rPr>
                <w:rFonts w:ascii="Arial" w:hAnsi="Arial" w:cs="Arial"/>
                <w:bCs/>
                <w:iCs/>
                <w:color w:val="000000" w:themeColor="text1"/>
              </w:rPr>
              <w:t>The consent form examples confirmed that patients are informed that they will be treated by Specialty Trainees.</w:t>
            </w:r>
          </w:p>
          <w:p w14:paraId="7F984BCA" w14:textId="77777777" w:rsidR="0011247E" w:rsidRDefault="0011247E" w:rsidP="004B5DB8">
            <w:pPr>
              <w:contextualSpacing/>
              <w:rPr>
                <w:rFonts w:ascii="Arial" w:hAnsi="Arial" w:cs="Arial"/>
                <w:bCs/>
                <w:iCs/>
                <w:color w:val="000000" w:themeColor="text1"/>
              </w:rPr>
            </w:pPr>
          </w:p>
          <w:p w14:paraId="02934B89" w14:textId="4EC0A68A" w:rsidR="00DA5E51" w:rsidRDefault="00DA5E51">
            <w:pPr>
              <w:contextualSpacing/>
              <w:rPr>
                <w:rFonts w:ascii="Arial" w:hAnsi="Arial" w:cs="Arial"/>
                <w:bCs/>
                <w:iCs/>
                <w:color w:val="000000" w:themeColor="text1"/>
              </w:rPr>
            </w:pPr>
            <w:r w:rsidRPr="0087499A">
              <w:rPr>
                <w:rFonts w:ascii="Arial" w:hAnsi="Arial" w:cs="Arial"/>
                <w:bCs/>
                <w:iCs/>
                <w:color w:val="000000" w:themeColor="text1"/>
              </w:rPr>
              <w:t xml:space="preserve">Although there is evidence of a consent form being utilised, </w:t>
            </w:r>
            <w:r w:rsidRPr="0087499A">
              <w:rPr>
                <w:rStyle w:val="cf11"/>
                <w:rFonts w:ascii="Arial" w:hAnsi="Arial" w:cs="Arial"/>
                <w:b w:val="0"/>
                <w:bCs w:val="0"/>
                <w:i w:val="0"/>
                <w:iCs w:val="0"/>
              </w:rPr>
              <w:t>it does not give the patient an opportunity to give their explicit consent to be treated specifically by a specialty</w:t>
            </w:r>
            <w:r w:rsidRPr="0087499A">
              <w:rPr>
                <w:rStyle w:val="cf11"/>
                <w:rFonts w:ascii="Arial" w:hAnsi="Arial" w:cs="Arial"/>
                <w:b w:val="0"/>
                <w:bCs w:val="0"/>
                <w:i w:val="0"/>
                <w:iCs w:val="0"/>
                <w:color w:val="FF0000"/>
              </w:rPr>
              <w:t xml:space="preserve"> </w:t>
            </w:r>
            <w:r w:rsidRPr="0087499A">
              <w:rPr>
                <w:rStyle w:val="cf11"/>
                <w:rFonts w:ascii="Arial" w:hAnsi="Arial" w:cs="Arial"/>
                <w:b w:val="0"/>
                <w:bCs w:val="0"/>
                <w:i w:val="0"/>
                <w:iCs w:val="0"/>
              </w:rPr>
              <w:t xml:space="preserve">trainee. The statement that informs patients “there is no guarantee for who will perform a procedure, but that person will have appropriate experience” does not allow for </w:t>
            </w:r>
            <w:r w:rsidR="007F7B89" w:rsidRPr="0087499A">
              <w:rPr>
                <w:rFonts w:ascii="Arial" w:hAnsi="Arial" w:cs="Arial"/>
                <w:bCs/>
                <w:iCs/>
                <w:color w:val="000000" w:themeColor="text1"/>
              </w:rPr>
              <w:t xml:space="preserve">recognition from patients that they will be treated by a specialty </w:t>
            </w:r>
            <w:r w:rsidRPr="0087499A">
              <w:rPr>
                <w:rFonts w:ascii="Arial" w:hAnsi="Arial" w:cs="Arial"/>
                <w:bCs/>
                <w:iCs/>
                <w:color w:val="000000" w:themeColor="text1"/>
              </w:rPr>
              <w:t>trainee and the opportunity to decline treatment, should they have concerns.</w:t>
            </w:r>
          </w:p>
          <w:p w14:paraId="1BEA2BD8" w14:textId="77777777" w:rsidR="00DA5E51" w:rsidRDefault="00DA5E51">
            <w:pPr>
              <w:contextualSpacing/>
              <w:rPr>
                <w:rFonts w:ascii="Arial" w:hAnsi="Arial" w:cs="Arial"/>
                <w:bCs/>
                <w:iCs/>
                <w:color w:val="000000" w:themeColor="text1"/>
              </w:rPr>
            </w:pPr>
          </w:p>
          <w:p w14:paraId="4F405C28" w14:textId="31760326" w:rsidR="002427A1" w:rsidRDefault="003C1BC3">
            <w:pPr>
              <w:contextualSpacing/>
              <w:rPr>
                <w:rFonts w:ascii="Arial" w:hAnsi="Arial" w:cs="Arial"/>
                <w:bCs/>
                <w:iCs/>
                <w:color w:val="000000" w:themeColor="text1"/>
              </w:rPr>
            </w:pPr>
            <w:r>
              <w:rPr>
                <w:rFonts w:ascii="Arial" w:hAnsi="Arial" w:cs="Arial"/>
                <w:bCs/>
                <w:iCs/>
                <w:color w:val="000000" w:themeColor="text1"/>
              </w:rPr>
              <w:t xml:space="preserve">HEE SW TVW </w:t>
            </w:r>
            <w:r w:rsidR="005F246B">
              <w:rPr>
                <w:rFonts w:ascii="Arial" w:hAnsi="Arial" w:cs="Arial"/>
                <w:bCs/>
                <w:iCs/>
                <w:color w:val="000000" w:themeColor="text1"/>
              </w:rPr>
              <w:t>suggested that there have been no patient safety issues raised or patient complaints involving dental specialty trainees.</w:t>
            </w:r>
            <w:r w:rsidR="00A709A1">
              <w:rPr>
                <w:rFonts w:ascii="Arial" w:hAnsi="Arial" w:cs="Arial"/>
                <w:bCs/>
                <w:iCs/>
                <w:color w:val="000000" w:themeColor="text1"/>
              </w:rPr>
              <w:t xml:space="preserve"> </w:t>
            </w:r>
          </w:p>
          <w:p w14:paraId="47C87328" w14:textId="6FF6A536" w:rsidR="00F66280" w:rsidRDefault="00F66280" w:rsidP="00D6729D">
            <w:pPr>
              <w:contextualSpacing/>
              <w:rPr>
                <w:rFonts w:ascii="Arial" w:hAnsi="Arial" w:cs="Arial"/>
                <w:bCs/>
                <w:iCs/>
                <w:color w:val="000000" w:themeColor="text1"/>
              </w:rPr>
            </w:pPr>
          </w:p>
          <w:p w14:paraId="772BC2F1" w14:textId="1F70FDFD" w:rsidR="00E35181" w:rsidRDefault="00D76D61" w:rsidP="00D6729D">
            <w:pPr>
              <w:contextualSpacing/>
              <w:rPr>
                <w:rFonts w:ascii="Arial" w:hAnsi="Arial" w:cs="Arial"/>
                <w:bCs/>
                <w:iCs/>
                <w:color w:val="000000" w:themeColor="text1"/>
              </w:rPr>
            </w:pPr>
            <w:r>
              <w:rPr>
                <w:rFonts w:ascii="Arial" w:hAnsi="Arial" w:cs="Arial"/>
                <w:bCs/>
                <w:iCs/>
                <w:color w:val="000000" w:themeColor="text1"/>
              </w:rPr>
              <w:t>There were</w:t>
            </w:r>
            <w:r w:rsidRPr="00D76D61">
              <w:rPr>
                <w:rFonts w:ascii="Arial" w:hAnsi="Arial" w:cs="Arial"/>
                <w:bCs/>
                <w:iCs/>
                <w:color w:val="000000" w:themeColor="text1"/>
              </w:rPr>
              <w:t xml:space="preserve"> two</w:t>
            </w:r>
            <w:r>
              <w:rPr>
                <w:rFonts w:ascii="Arial" w:hAnsi="Arial" w:cs="Arial"/>
                <w:bCs/>
                <w:iCs/>
                <w:color w:val="000000" w:themeColor="text1"/>
              </w:rPr>
              <w:t xml:space="preserve"> occasions</w:t>
            </w:r>
            <w:r w:rsidRPr="00D76D61">
              <w:rPr>
                <w:rFonts w:ascii="Arial" w:hAnsi="Arial" w:cs="Arial"/>
                <w:bCs/>
                <w:iCs/>
                <w:color w:val="000000" w:themeColor="text1"/>
              </w:rPr>
              <w:t xml:space="preserve"> </w:t>
            </w:r>
            <w:r>
              <w:rPr>
                <w:rFonts w:ascii="Arial" w:hAnsi="Arial" w:cs="Arial"/>
                <w:bCs/>
                <w:iCs/>
                <w:color w:val="000000" w:themeColor="text1"/>
              </w:rPr>
              <w:t>of which QM</w:t>
            </w:r>
            <w:r w:rsidRPr="00D76D61">
              <w:rPr>
                <w:rFonts w:ascii="Arial" w:hAnsi="Arial" w:cs="Arial"/>
                <w:bCs/>
                <w:iCs/>
                <w:color w:val="000000" w:themeColor="text1"/>
              </w:rPr>
              <w:t xml:space="preserve"> visits had raised issues regarding identification, however, these were subsequently resolved</w:t>
            </w:r>
            <w:r w:rsidR="007F386A">
              <w:rPr>
                <w:rFonts w:ascii="Arial" w:hAnsi="Arial" w:cs="Arial"/>
                <w:bCs/>
                <w:iCs/>
                <w:color w:val="000000" w:themeColor="text1"/>
              </w:rPr>
              <w:t>.</w:t>
            </w:r>
            <w:r w:rsidR="000C52A8">
              <w:rPr>
                <w:rFonts w:ascii="Arial" w:hAnsi="Arial" w:cs="Arial"/>
                <w:bCs/>
                <w:iCs/>
                <w:color w:val="000000" w:themeColor="text1"/>
              </w:rPr>
              <w:t xml:space="preserve"> This provided assurance that concerns had been highlighted and </w:t>
            </w:r>
            <w:r w:rsidR="00D14300">
              <w:rPr>
                <w:rFonts w:ascii="Arial" w:hAnsi="Arial" w:cs="Arial"/>
                <w:bCs/>
                <w:iCs/>
                <w:color w:val="000000" w:themeColor="text1"/>
              </w:rPr>
              <w:t>rectified.</w:t>
            </w:r>
          </w:p>
          <w:p w14:paraId="3B93B179" w14:textId="77777777" w:rsidR="009048BB" w:rsidRDefault="009048BB" w:rsidP="00D6729D">
            <w:pPr>
              <w:contextualSpacing/>
              <w:rPr>
                <w:rFonts w:ascii="Arial" w:hAnsi="Arial" w:cs="Arial"/>
                <w:bCs/>
                <w:iCs/>
                <w:color w:val="000000" w:themeColor="text1"/>
              </w:rPr>
            </w:pPr>
          </w:p>
          <w:p w14:paraId="6C438372" w14:textId="46EB8EA5" w:rsidR="009048BB" w:rsidRPr="00D14300" w:rsidRDefault="00BB15F5" w:rsidP="00D6729D">
            <w:pPr>
              <w:contextualSpacing/>
              <w:rPr>
                <w:rFonts w:ascii="Arial" w:hAnsi="Arial" w:cs="Arial"/>
                <w:bCs/>
                <w:iCs/>
                <w:color w:val="000000" w:themeColor="text1"/>
              </w:rPr>
            </w:pPr>
            <w:r w:rsidRPr="00D14300">
              <w:rPr>
                <w:rFonts w:ascii="Arial" w:hAnsi="Arial" w:cs="Arial"/>
              </w:rPr>
              <w:t>W</w:t>
            </w:r>
            <w:r w:rsidR="009048BB" w:rsidRPr="00D14300">
              <w:rPr>
                <w:rFonts w:ascii="Arial" w:hAnsi="Arial" w:cs="Arial"/>
              </w:rPr>
              <w:t xml:space="preserve">e recognise that this Requirement continues to pose difficulties for </w:t>
            </w:r>
            <w:r w:rsidR="00184FFB">
              <w:rPr>
                <w:rFonts w:ascii="Arial" w:hAnsi="Arial" w:cs="Arial"/>
              </w:rPr>
              <w:t>commissioners of Specialty training</w:t>
            </w:r>
            <w:r w:rsidR="00D14300">
              <w:rPr>
                <w:rFonts w:ascii="Arial" w:hAnsi="Arial" w:cs="Arial"/>
              </w:rPr>
              <w:t xml:space="preserve">, however as </w:t>
            </w:r>
            <w:r w:rsidR="00FC20D3">
              <w:rPr>
                <w:rFonts w:ascii="Arial" w:hAnsi="Arial" w:cs="Arial"/>
              </w:rPr>
              <w:t>the patient recognition aspect of this Requirement has not been evidence</w:t>
            </w:r>
            <w:r w:rsidR="00FE5979">
              <w:rPr>
                <w:rFonts w:ascii="Arial" w:hAnsi="Arial" w:cs="Arial"/>
              </w:rPr>
              <w:t>d</w:t>
            </w:r>
            <w:r w:rsidR="00FC20D3">
              <w:rPr>
                <w:rFonts w:ascii="Arial" w:hAnsi="Arial" w:cs="Arial"/>
              </w:rPr>
              <w:t xml:space="preserve">, we </w:t>
            </w:r>
            <w:r w:rsidR="00FE5979">
              <w:rPr>
                <w:rFonts w:ascii="Arial" w:hAnsi="Arial" w:cs="Arial"/>
              </w:rPr>
              <w:t>consider</w:t>
            </w:r>
            <w:r w:rsidR="00FC20D3">
              <w:rPr>
                <w:rFonts w:ascii="Arial" w:hAnsi="Arial" w:cs="Arial"/>
              </w:rPr>
              <w:t xml:space="preserve"> this Requirement to be </w:t>
            </w:r>
            <w:r w:rsidR="00FC20D3" w:rsidRPr="00FC20D3">
              <w:rPr>
                <w:rFonts w:ascii="Arial" w:hAnsi="Arial" w:cs="Arial"/>
                <w:b/>
                <w:bCs/>
              </w:rPr>
              <w:t>partly met.</w:t>
            </w:r>
          </w:p>
          <w:p w14:paraId="7F421E5A" w14:textId="26937256" w:rsidR="0011247E" w:rsidRDefault="0011247E" w:rsidP="00D6729D">
            <w:pPr>
              <w:contextualSpacing/>
              <w:rPr>
                <w:rFonts w:ascii="Arial" w:hAnsi="Arial" w:cs="Arial"/>
                <w:bCs/>
                <w:iCs/>
                <w:color w:val="000000" w:themeColor="text1"/>
              </w:rPr>
            </w:pPr>
          </w:p>
          <w:p w14:paraId="0D8C10B6" w14:textId="60693F94" w:rsidR="00E2148E" w:rsidRDefault="005D5820" w:rsidP="00D6729D">
            <w:pPr>
              <w:contextualSpacing/>
              <w:rPr>
                <w:rFonts w:ascii="Arial" w:eastAsia="Calibri" w:hAnsi="Arial" w:cs="Arial"/>
                <w:b/>
                <w:iCs/>
                <w:color w:val="000000" w:themeColor="text1"/>
              </w:rPr>
            </w:pPr>
            <w:r>
              <w:rPr>
                <w:rFonts w:ascii="Arial" w:eastAsia="Calibri" w:hAnsi="Arial" w:cs="Arial"/>
                <w:b/>
                <w:color w:val="000000" w:themeColor="text1"/>
              </w:rPr>
              <w:t>P</w:t>
            </w:r>
            <w:r w:rsidR="00E2148E">
              <w:rPr>
                <w:rFonts w:ascii="Arial" w:eastAsia="Calibri" w:hAnsi="Arial" w:cs="Arial"/>
                <w:b/>
                <w:color w:val="000000" w:themeColor="text1"/>
              </w:rPr>
              <w:t xml:space="preserve">3: </w:t>
            </w:r>
            <w:r w:rsidR="009755BA" w:rsidRPr="009755BA">
              <w:rPr>
                <w:rFonts w:ascii="Arial" w:eastAsia="Calibri" w:hAnsi="Arial" w:cs="Arial"/>
                <w:b/>
                <w:iCs/>
                <w:noProof/>
                <w:color w:val="000000" w:themeColor="text1"/>
                <w:lang w:eastAsia="en-GB"/>
              </w:rPr>
              <w:t>Programme</w:t>
            </w:r>
            <w:r w:rsidR="009755BA" w:rsidRPr="009755BA">
              <w:rPr>
                <w:rFonts w:ascii="Arial" w:eastAsia="Calibri" w:hAnsi="Arial" w:cs="Arial"/>
                <w:b/>
                <w:iCs/>
                <w:color w:val="000000" w:themeColor="text1"/>
              </w:rPr>
              <w:t xml:space="preserve"> providers must ensure specialty trainees provide patient-centred care in a safe learning environment. The provider must comply with relevant legislation, including equality and diversity, and requirements regarding patient care.</w:t>
            </w:r>
            <w:r w:rsidR="009755BA">
              <w:rPr>
                <w:rFonts w:ascii="Arial" w:eastAsia="Calibri" w:hAnsi="Arial" w:cs="Arial"/>
                <w:b/>
                <w:iCs/>
                <w:color w:val="000000" w:themeColor="text1"/>
              </w:rPr>
              <w:t xml:space="preserve"> </w:t>
            </w:r>
            <w:r w:rsidR="00EB22D1">
              <w:rPr>
                <w:rFonts w:ascii="Arial" w:eastAsia="Calibri" w:hAnsi="Arial" w:cs="Arial"/>
                <w:b/>
                <w:iCs/>
                <w:color w:val="000000" w:themeColor="text1"/>
              </w:rPr>
              <w:t>(</w:t>
            </w:r>
            <w:r w:rsidR="009755BA">
              <w:rPr>
                <w:rFonts w:ascii="Arial" w:eastAsia="Calibri" w:hAnsi="Arial" w:cs="Arial"/>
                <w:b/>
                <w:iCs/>
                <w:color w:val="000000" w:themeColor="text1"/>
              </w:rPr>
              <w:t xml:space="preserve">Requirement </w:t>
            </w:r>
            <w:r w:rsidR="004A2FFA">
              <w:rPr>
                <w:rFonts w:ascii="Arial" w:eastAsia="Calibri" w:hAnsi="Arial" w:cs="Arial"/>
                <w:b/>
                <w:iCs/>
                <w:color w:val="000000" w:themeColor="text1"/>
              </w:rPr>
              <w:t xml:space="preserve"> </w:t>
            </w:r>
            <w:r w:rsidR="00A22C30" w:rsidRPr="0004225B">
              <w:rPr>
                <w:rFonts w:ascii="Arial" w:eastAsia="Calibri" w:hAnsi="Arial" w:cs="Arial"/>
                <w:b/>
                <w:iCs/>
                <w:color w:val="000000" w:themeColor="text1"/>
              </w:rPr>
              <w:t>Met</w:t>
            </w:r>
            <w:r w:rsidR="00EB22D1">
              <w:rPr>
                <w:rFonts w:ascii="Arial" w:eastAsia="Calibri" w:hAnsi="Arial" w:cs="Arial"/>
                <w:b/>
                <w:iCs/>
                <w:color w:val="000000" w:themeColor="text1"/>
              </w:rPr>
              <w:t>)</w:t>
            </w:r>
            <w:r w:rsidR="009755BA">
              <w:rPr>
                <w:rFonts w:ascii="Arial" w:eastAsia="Calibri" w:hAnsi="Arial" w:cs="Arial"/>
                <w:b/>
                <w:iCs/>
                <w:color w:val="000000" w:themeColor="text1"/>
              </w:rPr>
              <w:t>.</w:t>
            </w:r>
          </w:p>
          <w:p w14:paraId="5169C938" w14:textId="50AE72B6" w:rsidR="009755BA" w:rsidRDefault="009755BA" w:rsidP="00D6729D">
            <w:pPr>
              <w:contextualSpacing/>
              <w:rPr>
                <w:rFonts w:ascii="Arial" w:eastAsia="Calibri" w:hAnsi="Arial" w:cs="Arial"/>
                <w:b/>
                <w:iCs/>
                <w:color w:val="000000" w:themeColor="text1"/>
              </w:rPr>
            </w:pPr>
          </w:p>
          <w:p w14:paraId="4F981038" w14:textId="4B89BBDE" w:rsidR="007F386A" w:rsidRDefault="00192C36" w:rsidP="00D6729D">
            <w:pPr>
              <w:contextualSpacing/>
              <w:rPr>
                <w:rFonts w:ascii="Arial" w:eastAsia="Calibri" w:hAnsi="Arial" w:cs="Arial"/>
                <w:bCs/>
                <w:color w:val="000000" w:themeColor="text1"/>
              </w:rPr>
            </w:pPr>
            <w:r>
              <w:rPr>
                <w:rFonts w:ascii="Arial" w:eastAsia="Calibri" w:hAnsi="Arial" w:cs="Arial"/>
                <w:bCs/>
                <w:color w:val="000000" w:themeColor="text1"/>
              </w:rPr>
              <w:lastRenderedPageBreak/>
              <w:t>The legislative requirements set out in the</w:t>
            </w:r>
            <w:r w:rsidR="00114853">
              <w:rPr>
                <w:rFonts w:ascii="Arial" w:eastAsia="Calibri" w:hAnsi="Arial" w:cs="Arial"/>
                <w:bCs/>
                <w:color w:val="000000" w:themeColor="text1"/>
              </w:rPr>
              <w:t xml:space="preserve"> Learning and Development Agreement</w:t>
            </w:r>
            <w:r>
              <w:rPr>
                <w:rFonts w:ascii="Arial" w:eastAsia="Calibri" w:hAnsi="Arial" w:cs="Arial"/>
                <w:bCs/>
                <w:color w:val="000000" w:themeColor="text1"/>
              </w:rPr>
              <w:t xml:space="preserve"> </w:t>
            </w:r>
            <w:r w:rsidR="00114853">
              <w:rPr>
                <w:rFonts w:ascii="Arial" w:eastAsia="Calibri" w:hAnsi="Arial" w:cs="Arial"/>
                <w:bCs/>
                <w:color w:val="000000" w:themeColor="text1"/>
              </w:rPr>
              <w:t>(</w:t>
            </w:r>
            <w:r w:rsidR="00061C57">
              <w:rPr>
                <w:rFonts w:ascii="Arial" w:eastAsia="Calibri" w:hAnsi="Arial" w:cs="Arial"/>
                <w:bCs/>
                <w:color w:val="000000" w:themeColor="text1"/>
              </w:rPr>
              <w:t>LDA</w:t>
            </w:r>
            <w:r w:rsidR="00114853">
              <w:rPr>
                <w:rFonts w:ascii="Arial" w:eastAsia="Calibri" w:hAnsi="Arial" w:cs="Arial"/>
                <w:bCs/>
                <w:color w:val="000000" w:themeColor="text1"/>
              </w:rPr>
              <w:t>)</w:t>
            </w:r>
            <w:r w:rsidR="00061C57">
              <w:rPr>
                <w:rFonts w:ascii="Arial" w:eastAsia="Calibri" w:hAnsi="Arial" w:cs="Arial"/>
                <w:bCs/>
                <w:color w:val="000000" w:themeColor="text1"/>
              </w:rPr>
              <w:t xml:space="preserve"> have</w:t>
            </w:r>
            <w:r>
              <w:rPr>
                <w:rFonts w:ascii="Arial" w:eastAsia="Calibri" w:hAnsi="Arial" w:cs="Arial"/>
                <w:bCs/>
                <w:color w:val="000000" w:themeColor="text1"/>
              </w:rPr>
              <w:t xml:space="preserve"> been </w:t>
            </w:r>
            <w:r w:rsidR="00C93B85">
              <w:rPr>
                <w:rFonts w:ascii="Arial" w:eastAsia="Calibri" w:hAnsi="Arial" w:cs="Arial"/>
                <w:bCs/>
                <w:color w:val="000000" w:themeColor="text1"/>
              </w:rPr>
              <w:t>implemented and</w:t>
            </w:r>
            <w:r w:rsidR="003F0FF8">
              <w:rPr>
                <w:rFonts w:ascii="Arial" w:eastAsia="Calibri" w:hAnsi="Arial" w:cs="Arial"/>
                <w:bCs/>
                <w:color w:val="000000" w:themeColor="text1"/>
              </w:rPr>
              <w:t xml:space="preserve"> </w:t>
            </w:r>
            <w:r w:rsidR="004C741F">
              <w:rPr>
                <w:rFonts w:ascii="Arial" w:eastAsia="Calibri" w:hAnsi="Arial" w:cs="Arial"/>
                <w:bCs/>
                <w:color w:val="000000" w:themeColor="text1"/>
              </w:rPr>
              <w:t>are evidenced</w:t>
            </w:r>
            <w:r>
              <w:rPr>
                <w:rFonts w:ascii="Arial" w:eastAsia="Calibri" w:hAnsi="Arial" w:cs="Arial"/>
                <w:bCs/>
                <w:color w:val="000000" w:themeColor="text1"/>
              </w:rPr>
              <w:t xml:space="preserve"> </w:t>
            </w:r>
            <w:r w:rsidR="00382F14">
              <w:rPr>
                <w:rFonts w:ascii="Arial" w:eastAsia="Calibri" w:hAnsi="Arial" w:cs="Arial"/>
                <w:bCs/>
                <w:color w:val="000000" w:themeColor="text1"/>
              </w:rPr>
              <w:t>in the documentation provided. Th</w:t>
            </w:r>
            <w:r w:rsidR="003F0FF8">
              <w:rPr>
                <w:rFonts w:ascii="Arial" w:eastAsia="Calibri" w:hAnsi="Arial" w:cs="Arial"/>
                <w:bCs/>
                <w:color w:val="000000" w:themeColor="text1"/>
              </w:rPr>
              <w:t xml:space="preserve">e LDA </w:t>
            </w:r>
            <w:r w:rsidR="00382F14">
              <w:rPr>
                <w:rFonts w:ascii="Arial" w:eastAsia="Calibri" w:hAnsi="Arial" w:cs="Arial"/>
                <w:bCs/>
                <w:color w:val="000000" w:themeColor="text1"/>
              </w:rPr>
              <w:t xml:space="preserve">places </w:t>
            </w:r>
            <w:r w:rsidR="00382F14" w:rsidRPr="007F386A">
              <w:rPr>
                <w:rFonts w:ascii="Arial" w:eastAsia="Calibri" w:hAnsi="Arial" w:cs="Arial"/>
                <w:bCs/>
                <w:iCs/>
                <w:color w:val="000000" w:themeColor="text1"/>
              </w:rPr>
              <w:t xml:space="preserve">responsibility on </w:t>
            </w:r>
            <w:r w:rsidR="00C93B85">
              <w:rPr>
                <w:rFonts w:ascii="Arial" w:eastAsia="Calibri" w:hAnsi="Arial" w:cs="Arial"/>
                <w:bCs/>
                <w:iCs/>
                <w:color w:val="000000" w:themeColor="text1"/>
              </w:rPr>
              <w:t>local offices</w:t>
            </w:r>
            <w:r w:rsidR="00382F14" w:rsidRPr="007F386A">
              <w:rPr>
                <w:rFonts w:ascii="Arial" w:eastAsia="Calibri" w:hAnsi="Arial" w:cs="Arial"/>
                <w:bCs/>
                <w:iCs/>
                <w:color w:val="000000" w:themeColor="text1"/>
              </w:rPr>
              <w:t xml:space="preserve"> to meet the requirements of the </w:t>
            </w:r>
            <w:r w:rsidR="00C35834">
              <w:rPr>
                <w:rFonts w:ascii="Arial" w:eastAsia="Calibri" w:hAnsi="Arial" w:cs="Arial"/>
                <w:bCs/>
                <w:iCs/>
                <w:color w:val="000000" w:themeColor="text1"/>
              </w:rPr>
              <w:t>agreement</w:t>
            </w:r>
            <w:r w:rsidR="00382F14" w:rsidRPr="007F386A">
              <w:rPr>
                <w:rFonts w:ascii="Arial" w:eastAsia="Calibri" w:hAnsi="Arial" w:cs="Arial"/>
                <w:bCs/>
                <w:iCs/>
                <w:color w:val="000000" w:themeColor="text1"/>
              </w:rPr>
              <w:t>, legal obligations, mandatory training (includ</w:t>
            </w:r>
            <w:r w:rsidR="00382F14">
              <w:rPr>
                <w:rFonts w:ascii="Arial" w:eastAsia="Calibri" w:hAnsi="Arial" w:cs="Arial"/>
                <w:bCs/>
                <w:iCs/>
                <w:color w:val="000000" w:themeColor="text1"/>
              </w:rPr>
              <w:t>ing</w:t>
            </w:r>
            <w:r w:rsidR="00382F14" w:rsidRPr="007F386A">
              <w:rPr>
                <w:rFonts w:ascii="Arial" w:eastAsia="Calibri" w:hAnsi="Arial" w:cs="Arial"/>
                <w:bCs/>
                <w:iCs/>
                <w:color w:val="000000" w:themeColor="text1"/>
              </w:rPr>
              <w:t xml:space="preserve"> E</w:t>
            </w:r>
            <w:r w:rsidR="00C70773">
              <w:rPr>
                <w:rFonts w:ascii="Arial" w:eastAsia="Calibri" w:hAnsi="Arial" w:cs="Arial"/>
                <w:bCs/>
                <w:iCs/>
                <w:color w:val="000000" w:themeColor="text1"/>
              </w:rPr>
              <w:t>quality and Diversity (ED</w:t>
            </w:r>
            <w:r w:rsidR="00382F14" w:rsidRPr="007F386A">
              <w:rPr>
                <w:rFonts w:ascii="Arial" w:eastAsia="Calibri" w:hAnsi="Arial" w:cs="Arial"/>
                <w:bCs/>
                <w:iCs/>
                <w:color w:val="000000" w:themeColor="text1"/>
              </w:rPr>
              <w:t>), clinical supervision and requirements of supervisors and patient safety</w:t>
            </w:r>
            <w:r w:rsidR="00382F14">
              <w:rPr>
                <w:rFonts w:ascii="Arial" w:eastAsia="Calibri" w:hAnsi="Arial" w:cs="Arial"/>
                <w:bCs/>
                <w:iCs/>
                <w:color w:val="000000" w:themeColor="text1"/>
              </w:rPr>
              <w:t xml:space="preserve">. This is reviewed in QM visit reports which </w:t>
            </w:r>
            <w:r w:rsidR="00B61F60">
              <w:rPr>
                <w:rFonts w:ascii="Arial" w:eastAsia="Calibri" w:hAnsi="Arial" w:cs="Arial"/>
                <w:bCs/>
                <w:iCs/>
                <w:color w:val="000000" w:themeColor="text1"/>
              </w:rPr>
              <w:t>present</w:t>
            </w:r>
            <w:r w:rsidR="00382F14">
              <w:rPr>
                <w:rFonts w:ascii="Arial" w:eastAsia="Calibri" w:hAnsi="Arial" w:cs="Arial"/>
                <w:bCs/>
                <w:iCs/>
                <w:color w:val="000000" w:themeColor="text1"/>
              </w:rPr>
              <w:t xml:space="preserve"> clear evidence of monitoring.</w:t>
            </w:r>
          </w:p>
          <w:p w14:paraId="4961A6CD" w14:textId="77777777" w:rsidR="004C741F" w:rsidRDefault="004C741F" w:rsidP="00D6729D">
            <w:pPr>
              <w:contextualSpacing/>
              <w:rPr>
                <w:rFonts w:ascii="Arial" w:eastAsia="Calibri" w:hAnsi="Arial" w:cs="Arial"/>
                <w:bCs/>
                <w:iCs/>
                <w:color w:val="000000" w:themeColor="text1"/>
              </w:rPr>
            </w:pPr>
          </w:p>
          <w:p w14:paraId="7270665E" w14:textId="5675EA15" w:rsidR="004C741F" w:rsidRDefault="007F386A" w:rsidP="00D6729D">
            <w:pPr>
              <w:contextualSpacing/>
              <w:rPr>
                <w:rFonts w:ascii="Arial" w:eastAsia="Calibri" w:hAnsi="Arial" w:cs="Arial"/>
                <w:bCs/>
                <w:iCs/>
                <w:color w:val="000000" w:themeColor="text1"/>
              </w:rPr>
            </w:pPr>
            <w:r w:rsidRPr="007F386A">
              <w:rPr>
                <w:rFonts w:ascii="Arial" w:eastAsia="Calibri" w:hAnsi="Arial" w:cs="Arial"/>
                <w:bCs/>
                <w:iCs/>
                <w:color w:val="000000" w:themeColor="text1"/>
              </w:rPr>
              <w:t xml:space="preserve">Oversight is </w:t>
            </w:r>
            <w:r w:rsidR="004D5407">
              <w:rPr>
                <w:rFonts w:ascii="Arial" w:eastAsia="Calibri" w:hAnsi="Arial" w:cs="Arial"/>
                <w:bCs/>
                <w:iCs/>
                <w:color w:val="000000" w:themeColor="text1"/>
              </w:rPr>
              <w:t xml:space="preserve">also </w:t>
            </w:r>
            <w:r w:rsidRPr="007F386A">
              <w:rPr>
                <w:rFonts w:ascii="Arial" w:eastAsia="Calibri" w:hAnsi="Arial" w:cs="Arial"/>
                <w:bCs/>
                <w:iCs/>
                <w:color w:val="000000" w:themeColor="text1"/>
              </w:rPr>
              <w:t>provided by committees such as the HEE-TV</w:t>
            </w:r>
            <w:r w:rsidR="00C70773">
              <w:rPr>
                <w:rFonts w:ascii="Arial" w:eastAsia="Calibri" w:hAnsi="Arial" w:cs="Arial"/>
                <w:bCs/>
                <w:iCs/>
                <w:color w:val="000000" w:themeColor="text1"/>
              </w:rPr>
              <w:t>W</w:t>
            </w:r>
            <w:r w:rsidRPr="007F386A">
              <w:rPr>
                <w:rFonts w:ascii="Arial" w:eastAsia="Calibri" w:hAnsi="Arial" w:cs="Arial"/>
                <w:bCs/>
                <w:iCs/>
                <w:color w:val="000000" w:themeColor="text1"/>
              </w:rPr>
              <w:t xml:space="preserve"> Quality Committee and the Quality Scrutiny Oversight Group for the </w:t>
            </w:r>
            <w:r w:rsidR="00BF3165" w:rsidRPr="007F386A">
              <w:rPr>
                <w:rFonts w:ascii="Arial" w:eastAsia="Calibri" w:hAnsi="Arial" w:cs="Arial"/>
                <w:bCs/>
                <w:iCs/>
                <w:color w:val="000000" w:themeColor="text1"/>
              </w:rPr>
              <w:t>South</w:t>
            </w:r>
            <w:r w:rsidR="007562DC">
              <w:rPr>
                <w:rFonts w:ascii="Arial" w:eastAsia="Calibri" w:hAnsi="Arial" w:cs="Arial"/>
                <w:bCs/>
                <w:iCs/>
                <w:color w:val="000000" w:themeColor="text1"/>
              </w:rPr>
              <w:t xml:space="preserve"> W</w:t>
            </w:r>
            <w:r w:rsidR="00BF3165" w:rsidRPr="007F386A">
              <w:rPr>
                <w:rFonts w:ascii="Arial" w:eastAsia="Calibri" w:hAnsi="Arial" w:cs="Arial"/>
                <w:bCs/>
                <w:iCs/>
                <w:color w:val="000000" w:themeColor="text1"/>
              </w:rPr>
              <w:t>est</w:t>
            </w:r>
            <w:r w:rsidR="00F12454">
              <w:rPr>
                <w:rFonts w:ascii="Arial" w:eastAsia="Calibri" w:hAnsi="Arial" w:cs="Arial"/>
                <w:bCs/>
                <w:iCs/>
                <w:color w:val="000000" w:themeColor="text1"/>
              </w:rPr>
              <w:t>,</w:t>
            </w:r>
            <w:r w:rsidRPr="007F386A">
              <w:rPr>
                <w:rFonts w:ascii="Arial" w:eastAsia="Calibri" w:hAnsi="Arial" w:cs="Arial"/>
                <w:bCs/>
                <w:iCs/>
                <w:color w:val="000000" w:themeColor="text1"/>
              </w:rPr>
              <w:t xml:space="preserve"> which consider and deal with issues which have been identified</w:t>
            </w:r>
            <w:r w:rsidR="003F0FF8">
              <w:rPr>
                <w:rFonts w:ascii="Arial" w:eastAsia="Calibri" w:hAnsi="Arial" w:cs="Arial"/>
                <w:bCs/>
                <w:iCs/>
                <w:color w:val="000000" w:themeColor="text1"/>
              </w:rPr>
              <w:t>. T</w:t>
            </w:r>
            <w:r w:rsidR="00382F14">
              <w:rPr>
                <w:rFonts w:ascii="Arial" w:eastAsia="Calibri" w:hAnsi="Arial" w:cs="Arial"/>
                <w:bCs/>
                <w:iCs/>
                <w:color w:val="000000" w:themeColor="text1"/>
              </w:rPr>
              <w:t xml:space="preserve">hey </w:t>
            </w:r>
            <w:r w:rsidR="00382F14" w:rsidRPr="007F386A">
              <w:rPr>
                <w:rFonts w:ascii="Arial" w:eastAsia="Calibri" w:hAnsi="Arial" w:cs="Arial"/>
                <w:bCs/>
                <w:iCs/>
                <w:color w:val="000000" w:themeColor="text1"/>
              </w:rPr>
              <w:t xml:space="preserve">meet </w:t>
            </w:r>
            <w:r w:rsidR="00C70773">
              <w:rPr>
                <w:rFonts w:ascii="Arial" w:eastAsia="Calibri" w:hAnsi="Arial" w:cs="Arial"/>
                <w:bCs/>
                <w:iCs/>
                <w:color w:val="000000" w:themeColor="text1"/>
              </w:rPr>
              <w:t>every six</w:t>
            </w:r>
            <w:r w:rsidR="00382F14" w:rsidRPr="007F386A">
              <w:rPr>
                <w:rFonts w:ascii="Arial" w:eastAsia="Calibri" w:hAnsi="Arial" w:cs="Arial"/>
                <w:bCs/>
                <w:iCs/>
                <w:color w:val="000000" w:themeColor="text1"/>
              </w:rPr>
              <w:t xml:space="preserve"> week</w:t>
            </w:r>
            <w:r w:rsidR="00C70773">
              <w:rPr>
                <w:rFonts w:ascii="Arial" w:eastAsia="Calibri" w:hAnsi="Arial" w:cs="Arial"/>
                <w:bCs/>
                <w:iCs/>
                <w:color w:val="000000" w:themeColor="text1"/>
              </w:rPr>
              <w:t>s</w:t>
            </w:r>
            <w:r w:rsidR="00382F14" w:rsidRPr="007F386A">
              <w:rPr>
                <w:rFonts w:ascii="Arial" w:eastAsia="Calibri" w:hAnsi="Arial" w:cs="Arial"/>
                <w:bCs/>
                <w:iCs/>
                <w:color w:val="000000" w:themeColor="text1"/>
              </w:rPr>
              <w:t xml:space="preserve"> and dental training is reviewed alongside medicine.</w:t>
            </w:r>
            <w:r w:rsidRPr="007F386A">
              <w:rPr>
                <w:rFonts w:ascii="Arial" w:eastAsia="Calibri" w:hAnsi="Arial" w:cs="Arial"/>
                <w:bCs/>
                <w:iCs/>
                <w:color w:val="000000" w:themeColor="text1"/>
              </w:rPr>
              <w:t xml:space="preserve"> The recent establishment of the HEE </w:t>
            </w:r>
            <w:r w:rsidR="00C70773">
              <w:rPr>
                <w:rFonts w:ascii="Arial" w:eastAsia="Calibri" w:hAnsi="Arial" w:cs="Arial"/>
                <w:bCs/>
                <w:iCs/>
                <w:color w:val="000000" w:themeColor="text1"/>
              </w:rPr>
              <w:t xml:space="preserve">SW and </w:t>
            </w:r>
            <w:r w:rsidRPr="007F386A">
              <w:rPr>
                <w:rFonts w:ascii="Arial" w:eastAsia="Calibri" w:hAnsi="Arial" w:cs="Arial"/>
                <w:bCs/>
                <w:iCs/>
                <w:color w:val="000000" w:themeColor="text1"/>
              </w:rPr>
              <w:t xml:space="preserve">TVW Speciality Trainee </w:t>
            </w:r>
            <w:r w:rsidR="00382F14" w:rsidRPr="007F386A">
              <w:rPr>
                <w:rFonts w:ascii="Arial" w:eastAsia="Calibri" w:hAnsi="Arial" w:cs="Arial"/>
                <w:bCs/>
                <w:iCs/>
                <w:color w:val="000000" w:themeColor="text1"/>
              </w:rPr>
              <w:t>Group provides</w:t>
            </w:r>
            <w:r w:rsidRPr="007F386A">
              <w:rPr>
                <w:rFonts w:ascii="Arial" w:eastAsia="Calibri" w:hAnsi="Arial" w:cs="Arial"/>
                <w:bCs/>
                <w:iCs/>
                <w:color w:val="000000" w:themeColor="text1"/>
              </w:rPr>
              <w:t xml:space="preserve"> another forum for concerns relating to patient </w:t>
            </w:r>
            <w:r w:rsidR="004C741F" w:rsidRPr="007F386A">
              <w:rPr>
                <w:rFonts w:ascii="Arial" w:eastAsia="Calibri" w:hAnsi="Arial" w:cs="Arial"/>
                <w:bCs/>
                <w:iCs/>
                <w:color w:val="000000" w:themeColor="text1"/>
              </w:rPr>
              <w:t>centred</w:t>
            </w:r>
            <w:r w:rsidRPr="007F386A">
              <w:rPr>
                <w:rFonts w:ascii="Arial" w:eastAsia="Calibri" w:hAnsi="Arial" w:cs="Arial"/>
                <w:bCs/>
                <w:iCs/>
                <w:color w:val="000000" w:themeColor="text1"/>
              </w:rPr>
              <w:t xml:space="preserve"> care in a safe learning environment to be raised, shared (with the P</w:t>
            </w:r>
            <w:r w:rsidR="00B61F60">
              <w:rPr>
                <w:rFonts w:ascii="Arial" w:eastAsia="Calibri" w:hAnsi="Arial" w:cs="Arial"/>
                <w:bCs/>
                <w:iCs/>
                <w:color w:val="000000" w:themeColor="text1"/>
              </w:rPr>
              <w:t xml:space="preserve">ost </w:t>
            </w:r>
            <w:r w:rsidRPr="007F386A">
              <w:rPr>
                <w:rFonts w:ascii="Arial" w:eastAsia="Calibri" w:hAnsi="Arial" w:cs="Arial"/>
                <w:bCs/>
                <w:iCs/>
                <w:color w:val="000000" w:themeColor="text1"/>
              </w:rPr>
              <w:t>G</w:t>
            </w:r>
            <w:r w:rsidR="00B61F60">
              <w:rPr>
                <w:rFonts w:ascii="Arial" w:eastAsia="Calibri" w:hAnsi="Arial" w:cs="Arial"/>
                <w:bCs/>
                <w:iCs/>
                <w:color w:val="000000" w:themeColor="text1"/>
              </w:rPr>
              <w:t>raduate</w:t>
            </w:r>
            <w:r w:rsidRPr="007F386A">
              <w:rPr>
                <w:rFonts w:ascii="Arial" w:eastAsia="Calibri" w:hAnsi="Arial" w:cs="Arial"/>
                <w:bCs/>
                <w:iCs/>
                <w:color w:val="000000" w:themeColor="text1"/>
              </w:rPr>
              <w:t xml:space="preserve"> Dental Dean</w:t>
            </w:r>
            <w:r w:rsidR="00B61F60">
              <w:rPr>
                <w:rFonts w:ascii="Arial" w:eastAsia="Calibri" w:hAnsi="Arial" w:cs="Arial"/>
                <w:bCs/>
                <w:iCs/>
                <w:color w:val="000000" w:themeColor="text1"/>
              </w:rPr>
              <w:t xml:space="preserve"> (PGDD)</w:t>
            </w:r>
            <w:r w:rsidRPr="007F386A">
              <w:rPr>
                <w:rFonts w:ascii="Arial" w:eastAsia="Calibri" w:hAnsi="Arial" w:cs="Arial"/>
                <w:bCs/>
                <w:iCs/>
                <w:color w:val="000000" w:themeColor="text1"/>
              </w:rPr>
              <w:t xml:space="preserve"> and HEE and resolved. </w:t>
            </w:r>
          </w:p>
          <w:p w14:paraId="53ABF0E3" w14:textId="77777777" w:rsidR="004C741F" w:rsidRDefault="004C741F" w:rsidP="00D6729D">
            <w:pPr>
              <w:contextualSpacing/>
              <w:rPr>
                <w:rFonts w:ascii="Arial" w:eastAsia="Calibri" w:hAnsi="Arial" w:cs="Arial"/>
                <w:bCs/>
                <w:iCs/>
                <w:color w:val="000000" w:themeColor="text1"/>
              </w:rPr>
            </w:pPr>
          </w:p>
          <w:p w14:paraId="4F738C34" w14:textId="1D691871" w:rsidR="007F386A" w:rsidRDefault="007F386A" w:rsidP="00D6729D">
            <w:pPr>
              <w:contextualSpacing/>
              <w:rPr>
                <w:rFonts w:ascii="Arial" w:eastAsia="Calibri" w:hAnsi="Arial" w:cs="Arial"/>
                <w:bCs/>
                <w:iCs/>
                <w:color w:val="000000" w:themeColor="text1"/>
              </w:rPr>
            </w:pPr>
            <w:r w:rsidRPr="007F386A">
              <w:rPr>
                <w:rFonts w:ascii="Arial" w:eastAsia="Calibri" w:hAnsi="Arial" w:cs="Arial"/>
                <w:bCs/>
                <w:iCs/>
                <w:color w:val="000000" w:themeColor="text1"/>
              </w:rPr>
              <w:t xml:space="preserve">Handbooks </w:t>
            </w:r>
            <w:r w:rsidR="004C741F">
              <w:rPr>
                <w:rFonts w:ascii="Arial" w:eastAsia="Calibri" w:hAnsi="Arial" w:cs="Arial"/>
                <w:bCs/>
                <w:iCs/>
                <w:color w:val="000000" w:themeColor="text1"/>
              </w:rPr>
              <w:t>were provided to us which set out</w:t>
            </w:r>
            <w:r w:rsidRPr="007F386A">
              <w:rPr>
                <w:rFonts w:ascii="Arial" w:eastAsia="Calibri" w:hAnsi="Arial" w:cs="Arial"/>
                <w:bCs/>
                <w:iCs/>
                <w:color w:val="000000" w:themeColor="text1"/>
              </w:rPr>
              <w:t xml:space="preserve"> HEE's strategy for </w:t>
            </w:r>
            <w:r w:rsidR="004C741F" w:rsidRPr="007F386A">
              <w:rPr>
                <w:rFonts w:ascii="Arial" w:eastAsia="Calibri" w:hAnsi="Arial" w:cs="Arial"/>
                <w:bCs/>
                <w:iCs/>
                <w:color w:val="000000" w:themeColor="text1"/>
              </w:rPr>
              <w:t>ensuring that</w:t>
            </w:r>
            <w:r w:rsidRPr="007F386A">
              <w:rPr>
                <w:rFonts w:ascii="Arial" w:eastAsia="Calibri" w:hAnsi="Arial" w:cs="Arial"/>
                <w:bCs/>
                <w:iCs/>
                <w:color w:val="000000" w:themeColor="text1"/>
              </w:rPr>
              <w:t xml:space="preserve"> there are high quality learning environments for all healthcare learners in England and outlines different stakeholders' responsibilities. </w:t>
            </w:r>
          </w:p>
          <w:p w14:paraId="16E486AF" w14:textId="580F9834" w:rsidR="007F386A" w:rsidRDefault="007F386A" w:rsidP="00D6729D">
            <w:pPr>
              <w:contextualSpacing/>
              <w:rPr>
                <w:rFonts w:ascii="Arial" w:eastAsia="Calibri" w:hAnsi="Arial" w:cs="Arial"/>
                <w:bCs/>
                <w:iCs/>
                <w:color w:val="000000" w:themeColor="text1"/>
              </w:rPr>
            </w:pPr>
          </w:p>
          <w:p w14:paraId="59853E42" w14:textId="0E650592" w:rsidR="009755BA" w:rsidRDefault="007F386A" w:rsidP="00D6729D">
            <w:pPr>
              <w:contextualSpacing/>
              <w:rPr>
                <w:rFonts w:ascii="Arial" w:eastAsia="Calibri" w:hAnsi="Arial" w:cs="Arial"/>
                <w:bCs/>
                <w:iCs/>
                <w:color w:val="000000" w:themeColor="text1"/>
              </w:rPr>
            </w:pPr>
            <w:r w:rsidRPr="007F386A">
              <w:rPr>
                <w:rFonts w:ascii="Arial" w:eastAsia="Calibri" w:hAnsi="Arial" w:cs="Arial"/>
                <w:bCs/>
                <w:iCs/>
                <w:color w:val="000000" w:themeColor="text1"/>
              </w:rPr>
              <w:t xml:space="preserve">Evidence that patient safety is considered at trainee, supervisor, unit, </w:t>
            </w:r>
            <w:r w:rsidR="00382F14">
              <w:rPr>
                <w:rFonts w:ascii="Arial" w:eastAsia="Calibri" w:hAnsi="Arial" w:cs="Arial"/>
                <w:bCs/>
                <w:iCs/>
                <w:color w:val="000000" w:themeColor="text1"/>
              </w:rPr>
              <w:t>d</w:t>
            </w:r>
            <w:r w:rsidRPr="007F386A">
              <w:rPr>
                <w:rFonts w:ascii="Arial" w:eastAsia="Calibri" w:hAnsi="Arial" w:cs="Arial"/>
                <w:bCs/>
                <w:iCs/>
                <w:color w:val="000000" w:themeColor="text1"/>
              </w:rPr>
              <w:t xml:space="preserve">eanery and </w:t>
            </w:r>
            <w:r w:rsidR="00382F14">
              <w:rPr>
                <w:rFonts w:ascii="Arial" w:eastAsia="Calibri" w:hAnsi="Arial" w:cs="Arial"/>
                <w:bCs/>
                <w:iCs/>
                <w:color w:val="000000" w:themeColor="text1"/>
              </w:rPr>
              <w:t>n</w:t>
            </w:r>
            <w:r w:rsidRPr="007F386A">
              <w:rPr>
                <w:rFonts w:ascii="Arial" w:eastAsia="Calibri" w:hAnsi="Arial" w:cs="Arial"/>
                <w:bCs/>
                <w:iCs/>
                <w:color w:val="000000" w:themeColor="text1"/>
              </w:rPr>
              <w:t>ationally is presented in the narrative and evidenced.</w:t>
            </w:r>
          </w:p>
          <w:p w14:paraId="54936165" w14:textId="350C31BD" w:rsidR="00DA2A93" w:rsidRDefault="00DA2A93" w:rsidP="00D6729D">
            <w:pPr>
              <w:contextualSpacing/>
              <w:rPr>
                <w:rFonts w:ascii="Arial" w:eastAsia="Calibri" w:hAnsi="Arial" w:cs="Arial"/>
                <w:bCs/>
                <w:iCs/>
                <w:color w:val="000000" w:themeColor="text1"/>
              </w:rPr>
            </w:pPr>
          </w:p>
          <w:p w14:paraId="2FDCF587" w14:textId="6824DEC0" w:rsidR="00DA2A93" w:rsidRDefault="00DA2A93" w:rsidP="00D6729D">
            <w:pPr>
              <w:contextualSpacing/>
              <w:rPr>
                <w:rFonts w:ascii="Arial" w:eastAsia="Calibri" w:hAnsi="Arial" w:cs="Arial"/>
                <w:bCs/>
                <w:iCs/>
                <w:color w:val="000000" w:themeColor="text1"/>
              </w:rPr>
            </w:pPr>
            <w:r>
              <w:rPr>
                <w:rFonts w:ascii="Arial" w:eastAsia="Calibri" w:hAnsi="Arial" w:cs="Arial"/>
                <w:bCs/>
                <w:iCs/>
                <w:color w:val="000000" w:themeColor="text1"/>
              </w:rPr>
              <w:t>During the COVID-19 pandemic, HEE SW TVW continued to monitor the wellbeing of trainees</w:t>
            </w:r>
            <w:r w:rsidR="00F12454">
              <w:rPr>
                <w:rFonts w:ascii="Arial" w:eastAsia="Calibri" w:hAnsi="Arial" w:cs="Arial"/>
                <w:bCs/>
                <w:iCs/>
                <w:color w:val="000000" w:themeColor="text1"/>
              </w:rPr>
              <w:t>,</w:t>
            </w:r>
            <w:r>
              <w:rPr>
                <w:rFonts w:ascii="Arial" w:eastAsia="Calibri" w:hAnsi="Arial" w:cs="Arial"/>
                <w:bCs/>
                <w:iCs/>
                <w:color w:val="000000" w:themeColor="text1"/>
              </w:rPr>
              <w:t xml:space="preserve"> which also gave the opportunity to identify issues in the training environment. </w:t>
            </w:r>
          </w:p>
          <w:p w14:paraId="4BDCEEA1" w14:textId="75BB6276" w:rsidR="00B61F60" w:rsidRDefault="00B61F60" w:rsidP="00D6729D">
            <w:pPr>
              <w:contextualSpacing/>
              <w:rPr>
                <w:rFonts w:ascii="Arial" w:eastAsia="Calibri" w:hAnsi="Arial" w:cs="Arial"/>
                <w:bCs/>
                <w:iCs/>
                <w:color w:val="000000" w:themeColor="text1"/>
              </w:rPr>
            </w:pPr>
          </w:p>
          <w:p w14:paraId="30BD501D" w14:textId="4223D8BE" w:rsidR="00B61F60" w:rsidRDefault="00DA2A93" w:rsidP="00D6729D">
            <w:pPr>
              <w:contextualSpacing/>
              <w:rPr>
                <w:rFonts w:ascii="Arial" w:eastAsia="Calibri" w:hAnsi="Arial" w:cs="Arial"/>
                <w:bCs/>
                <w:iCs/>
                <w:color w:val="000000" w:themeColor="text1"/>
              </w:rPr>
            </w:pPr>
            <w:r>
              <w:rPr>
                <w:rFonts w:ascii="Arial" w:eastAsia="Calibri" w:hAnsi="Arial" w:cs="Arial"/>
                <w:bCs/>
                <w:iCs/>
                <w:color w:val="000000" w:themeColor="text1"/>
              </w:rPr>
              <w:t>We</w:t>
            </w:r>
            <w:r w:rsidR="00B61F60">
              <w:rPr>
                <w:rFonts w:ascii="Arial" w:eastAsia="Calibri" w:hAnsi="Arial" w:cs="Arial"/>
                <w:bCs/>
                <w:iCs/>
                <w:color w:val="000000" w:themeColor="text1"/>
              </w:rPr>
              <w:t xml:space="preserve"> consider this </w:t>
            </w:r>
            <w:r w:rsidR="004A2FFA">
              <w:rPr>
                <w:rFonts w:ascii="Arial" w:eastAsia="Calibri" w:hAnsi="Arial" w:cs="Arial"/>
                <w:bCs/>
                <w:iCs/>
                <w:color w:val="000000" w:themeColor="text1"/>
              </w:rPr>
              <w:t>R</w:t>
            </w:r>
            <w:r w:rsidR="00B61F60">
              <w:rPr>
                <w:rFonts w:ascii="Arial" w:eastAsia="Calibri" w:hAnsi="Arial" w:cs="Arial"/>
                <w:bCs/>
                <w:iCs/>
                <w:color w:val="000000" w:themeColor="text1"/>
              </w:rPr>
              <w:t xml:space="preserve">equirement to be </w:t>
            </w:r>
            <w:r w:rsidR="00953321">
              <w:rPr>
                <w:rFonts w:ascii="Arial" w:eastAsia="Calibri" w:hAnsi="Arial" w:cs="Arial"/>
                <w:b/>
                <w:iCs/>
                <w:color w:val="000000" w:themeColor="text1"/>
              </w:rPr>
              <w:t>m</w:t>
            </w:r>
            <w:r w:rsidR="00B61F60" w:rsidRPr="00D8280A">
              <w:rPr>
                <w:rFonts w:ascii="Arial" w:eastAsia="Calibri" w:hAnsi="Arial" w:cs="Arial"/>
                <w:b/>
                <w:iCs/>
                <w:color w:val="000000" w:themeColor="text1"/>
              </w:rPr>
              <w:t>et</w:t>
            </w:r>
            <w:r w:rsidR="00B61F60">
              <w:rPr>
                <w:rFonts w:ascii="Arial" w:eastAsia="Calibri" w:hAnsi="Arial" w:cs="Arial"/>
                <w:bCs/>
                <w:iCs/>
                <w:color w:val="000000" w:themeColor="text1"/>
              </w:rPr>
              <w:t>.</w:t>
            </w:r>
          </w:p>
          <w:p w14:paraId="7C00B386" w14:textId="77777777" w:rsidR="007F386A" w:rsidRDefault="007F386A" w:rsidP="00D6729D">
            <w:pPr>
              <w:contextualSpacing/>
              <w:rPr>
                <w:rFonts w:ascii="Arial" w:eastAsia="Calibri" w:hAnsi="Arial" w:cs="Arial"/>
                <w:b/>
                <w:color w:val="000000" w:themeColor="text1"/>
              </w:rPr>
            </w:pPr>
          </w:p>
          <w:p w14:paraId="67B25007" w14:textId="07720A01" w:rsidR="009755BA" w:rsidRDefault="005D5820" w:rsidP="00D6729D">
            <w:pPr>
              <w:contextualSpacing/>
              <w:rPr>
                <w:rFonts w:ascii="Arial" w:eastAsia="Calibri" w:hAnsi="Arial" w:cs="Arial"/>
                <w:b/>
                <w:iCs/>
                <w:color w:val="000000" w:themeColor="text1"/>
              </w:rPr>
            </w:pPr>
            <w:r>
              <w:rPr>
                <w:rFonts w:ascii="Arial" w:eastAsia="Calibri" w:hAnsi="Arial" w:cs="Arial"/>
                <w:b/>
                <w:color w:val="000000" w:themeColor="text1"/>
              </w:rPr>
              <w:t>P</w:t>
            </w:r>
            <w:r w:rsidR="00E2148E">
              <w:rPr>
                <w:rFonts w:ascii="Arial" w:eastAsia="Calibri" w:hAnsi="Arial" w:cs="Arial"/>
                <w:b/>
                <w:color w:val="000000" w:themeColor="text1"/>
              </w:rPr>
              <w:t xml:space="preserve">4: </w:t>
            </w:r>
            <w:r w:rsidR="009755BA" w:rsidRPr="009755BA">
              <w:rPr>
                <w:rFonts w:ascii="Arial" w:eastAsia="Calibri" w:hAnsi="Arial" w:cs="Arial"/>
                <w:b/>
                <w:iCs/>
                <w:color w:val="000000" w:themeColor="text1"/>
              </w:rPr>
              <w:t>When providing patient care and services, specialty trainees are to be supervised at a level necessary to ensure patient safety according to the activity and the trainee’s stage of development.</w:t>
            </w:r>
            <w:r w:rsidR="009755BA">
              <w:rPr>
                <w:rFonts w:ascii="Arial" w:eastAsia="Calibri" w:hAnsi="Arial" w:cs="Arial"/>
                <w:b/>
                <w:iCs/>
                <w:color w:val="000000" w:themeColor="text1"/>
              </w:rPr>
              <w:t xml:space="preserve"> </w:t>
            </w:r>
            <w:r w:rsidR="00611DFC">
              <w:rPr>
                <w:rFonts w:ascii="Arial" w:eastAsia="Calibri" w:hAnsi="Arial" w:cs="Arial"/>
                <w:b/>
                <w:iCs/>
                <w:color w:val="000000" w:themeColor="text1"/>
              </w:rPr>
              <w:t>(</w:t>
            </w:r>
            <w:r w:rsidR="009755BA">
              <w:rPr>
                <w:rFonts w:ascii="Arial" w:eastAsia="Calibri" w:hAnsi="Arial" w:cs="Arial"/>
                <w:b/>
                <w:iCs/>
                <w:color w:val="000000" w:themeColor="text1"/>
              </w:rPr>
              <w:t xml:space="preserve">Requirement </w:t>
            </w:r>
            <w:r w:rsidR="00A22C30" w:rsidRPr="0004225B">
              <w:rPr>
                <w:rFonts w:ascii="Arial" w:eastAsia="Calibri" w:hAnsi="Arial" w:cs="Arial"/>
                <w:b/>
                <w:iCs/>
                <w:color w:val="000000" w:themeColor="text1"/>
              </w:rPr>
              <w:t>Met</w:t>
            </w:r>
            <w:r w:rsidR="00611DFC">
              <w:rPr>
                <w:rFonts w:ascii="Arial" w:eastAsia="Calibri" w:hAnsi="Arial" w:cs="Arial"/>
                <w:b/>
                <w:iCs/>
                <w:color w:val="000000" w:themeColor="text1"/>
              </w:rPr>
              <w:t>)</w:t>
            </w:r>
            <w:r w:rsidR="009755BA">
              <w:rPr>
                <w:rFonts w:ascii="Arial" w:eastAsia="Calibri" w:hAnsi="Arial" w:cs="Arial"/>
                <w:b/>
                <w:iCs/>
                <w:color w:val="000000" w:themeColor="text1"/>
              </w:rPr>
              <w:t>.</w:t>
            </w:r>
          </w:p>
          <w:p w14:paraId="3CF68967" w14:textId="5902015E" w:rsidR="00B20BF6" w:rsidRDefault="00B20BF6" w:rsidP="00D6729D">
            <w:pPr>
              <w:contextualSpacing/>
              <w:rPr>
                <w:rFonts w:ascii="Arial" w:eastAsia="Calibri" w:hAnsi="Arial" w:cs="Arial"/>
                <w:b/>
                <w:iCs/>
                <w:color w:val="000000" w:themeColor="text1"/>
              </w:rPr>
            </w:pPr>
          </w:p>
          <w:p w14:paraId="1C4395B7" w14:textId="7A8B461D" w:rsidR="00B20BF6" w:rsidRDefault="00B20BF6" w:rsidP="00D6729D">
            <w:pPr>
              <w:contextualSpacing/>
              <w:rPr>
                <w:rFonts w:ascii="Arial" w:eastAsia="Calibri" w:hAnsi="Arial" w:cs="Arial"/>
                <w:bCs/>
                <w:iCs/>
                <w:color w:val="000000" w:themeColor="text1"/>
              </w:rPr>
            </w:pPr>
            <w:r w:rsidRPr="00B20BF6">
              <w:rPr>
                <w:rFonts w:ascii="Arial" w:eastAsia="Calibri" w:hAnsi="Arial" w:cs="Arial"/>
                <w:bCs/>
                <w:iCs/>
                <w:color w:val="000000" w:themeColor="text1"/>
              </w:rPr>
              <w:t xml:space="preserve">The LDA clearly sets out the obligations of </w:t>
            </w:r>
            <w:r w:rsidR="00CE6057">
              <w:rPr>
                <w:rFonts w:ascii="Arial" w:eastAsia="Calibri" w:hAnsi="Arial" w:cs="Arial"/>
                <w:bCs/>
                <w:iCs/>
                <w:color w:val="000000" w:themeColor="text1"/>
              </w:rPr>
              <w:t>local offices</w:t>
            </w:r>
            <w:r w:rsidRPr="00B20BF6">
              <w:rPr>
                <w:rFonts w:ascii="Arial" w:eastAsia="Calibri" w:hAnsi="Arial" w:cs="Arial"/>
                <w:bCs/>
                <w:iCs/>
                <w:color w:val="000000" w:themeColor="text1"/>
              </w:rPr>
              <w:t xml:space="preserve"> in relation to education, training and appropriate supervision. The QM</w:t>
            </w:r>
            <w:r w:rsidR="008F6F49">
              <w:rPr>
                <w:rFonts w:ascii="Arial" w:eastAsia="Calibri" w:hAnsi="Arial" w:cs="Arial"/>
                <w:bCs/>
                <w:iCs/>
                <w:color w:val="000000" w:themeColor="text1"/>
              </w:rPr>
              <w:t xml:space="preserve"> </w:t>
            </w:r>
            <w:r w:rsidRPr="00B20BF6">
              <w:rPr>
                <w:rFonts w:ascii="Arial" w:eastAsia="Calibri" w:hAnsi="Arial" w:cs="Arial"/>
                <w:bCs/>
                <w:iCs/>
                <w:color w:val="000000" w:themeColor="text1"/>
              </w:rPr>
              <w:t xml:space="preserve">visits carried out by HEE ensure that </w:t>
            </w:r>
            <w:r w:rsidR="00C93B85">
              <w:rPr>
                <w:rFonts w:ascii="Arial" w:eastAsia="Calibri" w:hAnsi="Arial" w:cs="Arial"/>
                <w:bCs/>
                <w:iCs/>
                <w:color w:val="000000" w:themeColor="text1"/>
              </w:rPr>
              <w:t>local offices</w:t>
            </w:r>
            <w:r w:rsidRPr="00B20BF6">
              <w:rPr>
                <w:rFonts w:ascii="Arial" w:eastAsia="Calibri" w:hAnsi="Arial" w:cs="Arial"/>
                <w:bCs/>
                <w:iCs/>
                <w:color w:val="000000" w:themeColor="text1"/>
              </w:rPr>
              <w:t xml:space="preserve"> are held to account in relation to the LDA agreement.</w:t>
            </w:r>
          </w:p>
          <w:p w14:paraId="3004A26B" w14:textId="3CD7A8C8" w:rsidR="00F8650D" w:rsidRDefault="00F8650D" w:rsidP="00D6729D">
            <w:pPr>
              <w:contextualSpacing/>
              <w:rPr>
                <w:rFonts w:ascii="Arial" w:eastAsia="Calibri" w:hAnsi="Arial" w:cs="Arial"/>
                <w:bCs/>
                <w:iCs/>
                <w:color w:val="000000" w:themeColor="text1"/>
              </w:rPr>
            </w:pPr>
          </w:p>
          <w:p w14:paraId="262A0EDC" w14:textId="596C6853" w:rsidR="00F8650D" w:rsidRDefault="00F8650D" w:rsidP="00F8650D">
            <w:pPr>
              <w:contextualSpacing/>
              <w:rPr>
                <w:rFonts w:ascii="Arial" w:eastAsia="Calibri" w:hAnsi="Arial" w:cs="Arial"/>
                <w:bCs/>
                <w:iCs/>
                <w:color w:val="000000" w:themeColor="text1"/>
              </w:rPr>
            </w:pPr>
            <w:r w:rsidRPr="00F8650D">
              <w:rPr>
                <w:rFonts w:ascii="Arial" w:eastAsia="Calibri" w:hAnsi="Arial" w:cs="Arial"/>
                <w:bCs/>
                <w:iCs/>
                <w:color w:val="000000" w:themeColor="text1"/>
              </w:rPr>
              <w:t>In relation to QM visits, it has been noted that trainees are given the opportunity to provide feedback on their education and training during Quality Management Review meetings/visits. It is clear from the content of reports that feedback has been obtained</w:t>
            </w:r>
            <w:r w:rsidR="00F12454">
              <w:rPr>
                <w:rFonts w:ascii="Arial" w:eastAsia="Calibri" w:hAnsi="Arial" w:cs="Arial"/>
                <w:bCs/>
                <w:iCs/>
                <w:color w:val="000000" w:themeColor="text1"/>
              </w:rPr>
              <w:t>,</w:t>
            </w:r>
            <w:r w:rsidRPr="00F8650D">
              <w:rPr>
                <w:rFonts w:ascii="Arial" w:eastAsia="Calibri" w:hAnsi="Arial" w:cs="Arial"/>
                <w:bCs/>
                <w:iCs/>
                <w:color w:val="000000" w:themeColor="text1"/>
              </w:rPr>
              <w:t xml:space="preserve"> although th</w:t>
            </w:r>
            <w:r w:rsidR="006D3C06">
              <w:rPr>
                <w:rFonts w:ascii="Arial" w:eastAsia="Calibri" w:hAnsi="Arial" w:cs="Arial"/>
                <w:bCs/>
                <w:iCs/>
                <w:color w:val="000000" w:themeColor="text1"/>
              </w:rPr>
              <w:t>e</w:t>
            </w:r>
            <w:r w:rsidR="00841F0A">
              <w:rPr>
                <w:rFonts w:ascii="Arial" w:eastAsia="Calibri" w:hAnsi="Arial" w:cs="Arial"/>
                <w:bCs/>
                <w:iCs/>
                <w:color w:val="000000" w:themeColor="text1"/>
              </w:rPr>
              <w:t xml:space="preserve"> trainees’</w:t>
            </w:r>
            <w:r w:rsidRPr="00F8650D">
              <w:rPr>
                <w:rFonts w:ascii="Arial" w:eastAsia="Calibri" w:hAnsi="Arial" w:cs="Arial"/>
                <w:bCs/>
                <w:iCs/>
                <w:color w:val="000000" w:themeColor="text1"/>
              </w:rPr>
              <w:t xml:space="preserve"> attendance has not been </w:t>
            </w:r>
            <w:r w:rsidR="008F6F49" w:rsidRPr="00F8650D">
              <w:rPr>
                <w:rFonts w:ascii="Arial" w:eastAsia="Calibri" w:hAnsi="Arial" w:cs="Arial"/>
                <w:bCs/>
                <w:iCs/>
                <w:color w:val="000000" w:themeColor="text1"/>
              </w:rPr>
              <w:t>minute</w:t>
            </w:r>
            <w:r w:rsidR="00EB65DC">
              <w:rPr>
                <w:rFonts w:ascii="Arial" w:eastAsia="Calibri" w:hAnsi="Arial" w:cs="Arial"/>
                <w:bCs/>
                <w:iCs/>
                <w:color w:val="000000" w:themeColor="text1"/>
              </w:rPr>
              <w:t>d.</w:t>
            </w:r>
          </w:p>
          <w:p w14:paraId="3872C631" w14:textId="77777777" w:rsidR="00F8650D" w:rsidRDefault="00F8650D" w:rsidP="00D6729D">
            <w:pPr>
              <w:contextualSpacing/>
              <w:rPr>
                <w:rFonts w:ascii="Arial" w:eastAsia="Calibri" w:hAnsi="Arial" w:cs="Arial"/>
                <w:bCs/>
                <w:iCs/>
                <w:color w:val="000000" w:themeColor="text1"/>
              </w:rPr>
            </w:pPr>
          </w:p>
          <w:p w14:paraId="3CFB61E5" w14:textId="2E835480" w:rsidR="00B20BF6" w:rsidRDefault="00AA2683" w:rsidP="00D6729D">
            <w:pPr>
              <w:contextualSpacing/>
              <w:rPr>
                <w:rFonts w:ascii="Arial" w:eastAsia="Calibri" w:hAnsi="Arial" w:cs="Arial"/>
                <w:bCs/>
                <w:iCs/>
                <w:color w:val="000000" w:themeColor="text1"/>
              </w:rPr>
            </w:pPr>
            <w:r>
              <w:rPr>
                <w:rFonts w:ascii="Arial" w:eastAsia="Calibri" w:hAnsi="Arial" w:cs="Arial"/>
                <w:bCs/>
                <w:iCs/>
                <w:color w:val="000000" w:themeColor="text1"/>
              </w:rPr>
              <w:t xml:space="preserve">The </w:t>
            </w:r>
            <w:r w:rsidR="00B20BF6" w:rsidRPr="00AA2683">
              <w:rPr>
                <w:rFonts w:ascii="Arial" w:eastAsia="Calibri" w:hAnsi="Arial" w:cs="Arial"/>
                <w:bCs/>
                <w:iCs/>
                <w:color w:val="000000" w:themeColor="text1"/>
              </w:rPr>
              <w:t>E</w:t>
            </w:r>
            <w:r w:rsidRPr="00AA2683">
              <w:rPr>
                <w:rFonts w:ascii="Arial" w:eastAsia="Calibri" w:hAnsi="Arial" w:cs="Arial"/>
                <w:bCs/>
                <w:iCs/>
                <w:color w:val="000000" w:themeColor="text1"/>
              </w:rPr>
              <w:t xml:space="preserve">ducational </w:t>
            </w:r>
            <w:r w:rsidR="00B20BF6" w:rsidRPr="00AA2683">
              <w:rPr>
                <w:rFonts w:ascii="Arial" w:eastAsia="Calibri" w:hAnsi="Arial" w:cs="Arial"/>
                <w:bCs/>
                <w:iCs/>
                <w:color w:val="000000" w:themeColor="text1"/>
              </w:rPr>
              <w:t>S</w:t>
            </w:r>
            <w:r w:rsidRPr="00AA2683">
              <w:rPr>
                <w:rFonts w:ascii="Arial" w:eastAsia="Calibri" w:hAnsi="Arial" w:cs="Arial"/>
                <w:bCs/>
                <w:iCs/>
                <w:color w:val="000000" w:themeColor="text1"/>
              </w:rPr>
              <w:t>upervisor</w:t>
            </w:r>
            <w:r w:rsidR="00B20BF6" w:rsidRPr="00AA2683">
              <w:rPr>
                <w:rFonts w:ascii="Arial" w:eastAsia="Calibri" w:hAnsi="Arial" w:cs="Arial"/>
                <w:bCs/>
                <w:iCs/>
                <w:color w:val="000000" w:themeColor="text1"/>
              </w:rPr>
              <w:t xml:space="preserve"> </w:t>
            </w:r>
            <w:r w:rsidR="008F6F49">
              <w:rPr>
                <w:rFonts w:ascii="Arial" w:eastAsia="Calibri" w:hAnsi="Arial" w:cs="Arial"/>
                <w:bCs/>
                <w:iCs/>
                <w:color w:val="000000" w:themeColor="text1"/>
              </w:rPr>
              <w:t xml:space="preserve">(ES) </w:t>
            </w:r>
            <w:r w:rsidR="00B20BF6" w:rsidRPr="00AA2683">
              <w:rPr>
                <w:rFonts w:ascii="Arial" w:eastAsia="Calibri" w:hAnsi="Arial" w:cs="Arial"/>
                <w:bCs/>
                <w:iCs/>
                <w:color w:val="000000" w:themeColor="text1"/>
              </w:rPr>
              <w:t>appointment letter includes</w:t>
            </w:r>
            <w:r w:rsidRPr="00AA2683">
              <w:rPr>
                <w:rFonts w:ascii="Arial" w:eastAsia="Calibri" w:hAnsi="Arial" w:cs="Arial"/>
                <w:bCs/>
                <w:iCs/>
                <w:color w:val="000000" w:themeColor="text1"/>
              </w:rPr>
              <w:t xml:space="preserve"> the</w:t>
            </w:r>
            <w:r w:rsidR="00B20BF6" w:rsidRPr="00AA2683">
              <w:rPr>
                <w:rFonts w:ascii="Arial" w:eastAsia="Calibri" w:hAnsi="Arial" w:cs="Arial"/>
                <w:bCs/>
                <w:iCs/>
                <w:color w:val="000000" w:themeColor="text1"/>
              </w:rPr>
              <w:t xml:space="preserve"> requirement to arrange appropriate clinical supervision and seek regular feedback from Clinical Supervisors</w:t>
            </w:r>
            <w:r w:rsidR="008F6F49">
              <w:rPr>
                <w:rFonts w:ascii="Arial" w:eastAsia="Calibri" w:hAnsi="Arial" w:cs="Arial"/>
                <w:bCs/>
                <w:iCs/>
                <w:color w:val="000000" w:themeColor="text1"/>
              </w:rPr>
              <w:t xml:space="preserve"> (CS)</w:t>
            </w:r>
            <w:r w:rsidR="00B20BF6" w:rsidRPr="00AA2683">
              <w:rPr>
                <w:rFonts w:ascii="Arial" w:eastAsia="Calibri" w:hAnsi="Arial" w:cs="Arial"/>
                <w:bCs/>
                <w:iCs/>
                <w:color w:val="000000" w:themeColor="text1"/>
              </w:rPr>
              <w:t>.</w:t>
            </w:r>
            <w:r w:rsidRPr="00120C75">
              <w:rPr>
                <w:rFonts w:ascii="Arial" w:eastAsia="Calibri" w:hAnsi="Arial" w:cs="Arial"/>
                <w:bCs/>
                <w:iCs/>
                <w:color w:val="FF0000"/>
              </w:rPr>
              <w:t xml:space="preserve"> </w:t>
            </w:r>
            <w:r w:rsidRPr="00AA2683">
              <w:rPr>
                <w:rFonts w:ascii="Arial" w:eastAsia="Calibri" w:hAnsi="Arial" w:cs="Arial"/>
                <w:bCs/>
                <w:iCs/>
                <w:color w:val="000000" w:themeColor="text1"/>
              </w:rPr>
              <w:t>The role and responsibilities of</w:t>
            </w:r>
            <w:r w:rsidR="00E813A2">
              <w:rPr>
                <w:rFonts w:ascii="Arial" w:eastAsia="Calibri" w:hAnsi="Arial" w:cs="Arial"/>
                <w:bCs/>
                <w:iCs/>
                <w:color w:val="000000" w:themeColor="text1"/>
              </w:rPr>
              <w:t xml:space="preserve"> the</w:t>
            </w:r>
            <w:r w:rsidRPr="00AA2683">
              <w:rPr>
                <w:rFonts w:ascii="Arial" w:eastAsia="Calibri" w:hAnsi="Arial" w:cs="Arial"/>
                <w:bCs/>
                <w:iCs/>
                <w:color w:val="000000" w:themeColor="text1"/>
              </w:rPr>
              <w:t xml:space="preserve"> E</w:t>
            </w:r>
            <w:r w:rsidR="008F6F49">
              <w:rPr>
                <w:rFonts w:ascii="Arial" w:eastAsia="Calibri" w:hAnsi="Arial" w:cs="Arial"/>
                <w:bCs/>
                <w:iCs/>
                <w:color w:val="000000" w:themeColor="text1"/>
              </w:rPr>
              <w:t xml:space="preserve">S </w:t>
            </w:r>
            <w:r w:rsidRPr="00AA2683">
              <w:rPr>
                <w:rFonts w:ascii="Arial" w:eastAsia="Calibri" w:hAnsi="Arial" w:cs="Arial"/>
                <w:bCs/>
                <w:iCs/>
                <w:color w:val="000000" w:themeColor="text1"/>
              </w:rPr>
              <w:t xml:space="preserve">are clearly </w:t>
            </w:r>
            <w:r w:rsidR="00F8650D" w:rsidRPr="00AA2683">
              <w:rPr>
                <w:rFonts w:ascii="Arial" w:eastAsia="Calibri" w:hAnsi="Arial" w:cs="Arial"/>
                <w:bCs/>
                <w:iCs/>
                <w:color w:val="000000" w:themeColor="text1"/>
              </w:rPr>
              <w:t>defined,</w:t>
            </w:r>
            <w:r w:rsidR="00F8650D">
              <w:rPr>
                <w:rFonts w:ascii="Arial" w:eastAsia="Calibri" w:hAnsi="Arial" w:cs="Arial"/>
                <w:bCs/>
                <w:iCs/>
                <w:color w:val="000000" w:themeColor="text1"/>
              </w:rPr>
              <w:t xml:space="preserve"> and they are required to complete training prior to a new specialty trainee starting</w:t>
            </w:r>
            <w:r w:rsidRPr="00AA2683">
              <w:rPr>
                <w:rFonts w:ascii="Arial" w:eastAsia="Calibri" w:hAnsi="Arial" w:cs="Arial"/>
                <w:bCs/>
                <w:iCs/>
                <w:color w:val="000000" w:themeColor="text1"/>
              </w:rPr>
              <w:t xml:space="preserve">. </w:t>
            </w:r>
            <w:r>
              <w:rPr>
                <w:rFonts w:ascii="Arial" w:eastAsia="Calibri" w:hAnsi="Arial" w:cs="Arial"/>
                <w:bCs/>
                <w:iCs/>
                <w:color w:val="000000" w:themeColor="text1"/>
              </w:rPr>
              <w:t xml:space="preserve">We were provided with examples of specialty trainee timetables indicating </w:t>
            </w:r>
            <w:r w:rsidR="008F6F49">
              <w:rPr>
                <w:rFonts w:ascii="Arial" w:eastAsia="Calibri" w:hAnsi="Arial" w:cs="Arial"/>
                <w:bCs/>
                <w:iCs/>
                <w:color w:val="000000" w:themeColor="text1"/>
              </w:rPr>
              <w:t>CS</w:t>
            </w:r>
            <w:r>
              <w:rPr>
                <w:rFonts w:ascii="Arial" w:eastAsia="Calibri" w:hAnsi="Arial" w:cs="Arial"/>
                <w:bCs/>
                <w:iCs/>
                <w:color w:val="000000" w:themeColor="text1"/>
              </w:rPr>
              <w:t xml:space="preserve"> on all sessions. This was evidenced in the QM reports with both trainees and supervisors confirming that there are no concerns. As well as this, </w:t>
            </w:r>
            <w:r w:rsidR="00B20BF6" w:rsidRPr="00AA2683">
              <w:rPr>
                <w:rFonts w:ascii="Arial" w:eastAsia="Calibri" w:hAnsi="Arial" w:cs="Arial"/>
                <w:bCs/>
                <w:iCs/>
                <w:color w:val="000000" w:themeColor="text1"/>
              </w:rPr>
              <w:t xml:space="preserve">HEE checklists from replacement posts </w:t>
            </w:r>
            <w:r w:rsidR="00E27DC1" w:rsidRPr="00AA2683">
              <w:rPr>
                <w:rFonts w:ascii="Arial" w:eastAsia="Calibri" w:hAnsi="Arial" w:cs="Arial"/>
                <w:bCs/>
                <w:iCs/>
                <w:color w:val="000000" w:themeColor="text1"/>
              </w:rPr>
              <w:t>specify</w:t>
            </w:r>
            <w:r w:rsidR="00B20BF6" w:rsidRPr="00AA2683">
              <w:rPr>
                <w:rFonts w:ascii="Arial" w:eastAsia="Calibri" w:hAnsi="Arial" w:cs="Arial"/>
                <w:bCs/>
                <w:iCs/>
                <w:color w:val="000000" w:themeColor="text1"/>
              </w:rPr>
              <w:t xml:space="preserve"> clinical </w:t>
            </w:r>
            <w:r w:rsidR="00E27DC1" w:rsidRPr="00AA2683">
              <w:rPr>
                <w:rFonts w:ascii="Arial" w:eastAsia="Calibri" w:hAnsi="Arial" w:cs="Arial"/>
                <w:bCs/>
                <w:iCs/>
                <w:color w:val="000000" w:themeColor="text1"/>
              </w:rPr>
              <w:t>supervision</w:t>
            </w:r>
            <w:r w:rsidR="00B20BF6" w:rsidRPr="00AA2683">
              <w:rPr>
                <w:rFonts w:ascii="Arial" w:eastAsia="Calibri" w:hAnsi="Arial" w:cs="Arial"/>
                <w:bCs/>
                <w:iCs/>
                <w:color w:val="000000" w:themeColor="text1"/>
              </w:rPr>
              <w:t xml:space="preserve"> levels</w:t>
            </w:r>
            <w:r w:rsidRPr="00AA2683">
              <w:rPr>
                <w:rFonts w:ascii="Arial" w:eastAsia="Calibri" w:hAnsi="Arial" w:cs="Arial"/>
                <w:bCs/>
                <w:iCs/>
                <w:color w:val="000000" w:themeColor="text1"/>
              </w:rPr>
              <w:t xml:space="preserve"> which</w:t>
            </w:r>
            <w:r w:rsidR="006D3C06">
              <w:rPr>
                <w:rFonts w:ascii="Arial" w:eastAsia="Calibri" w:hAnsi="Arial" w:cs="Arial"/>
                <w:bCs/>
                <w:iCs/>
                <w:color w:val="000000" w:themeColor="text1"/>
              </w:rPr>
              <w:t xml:space="preserve"> </w:t>
            </w:r>
            <w:r w:rsidR="00841F0A">
              <w:rPr>
                <w:rFonts w:ascii="Arial" w:eastAsia="Calibri" w:hAnsi="Arial" w:cs="Arial"/>
                <w:bCs/>
                <w:iCs/>
                <w:color w:val="000000" w:themeColor="text1"/>
              </w:rPr>
              <w:t>are</w:t>
            </w:r>
            <w:r w:rsidRPr="00AA2683">
              <w:rPr>
                <w:rFonts w:ascii="Arial" w:eastAsia="Calibri" w:hAnsi="Arial" w:cs="Arial"/>
                <w:bCs/>
                <w:iCs/>
                <w:color w:val="000000" w:themeColor="text1"/>
              </w:rPr>
              <w:t xml:space="preserve"> completed by the </w:t>
            </w:r>
            <w:r w:rsidR="00CE6057">
              <w:rPr>
                <w:rFonts w:ascii="Arial" w:eastAsia="Calibri" w:hAnsi="Arial" w:cs="Arial"/>
                <w:bCs/>
                <w:iCs/>
                <w:color w:val="000000" w:themeColor="text1"/>
              </w:rPr>
              <w:t>local offices</w:t>
            </w:r>
            <w:r w:rsidR="00B20BF6" w:rsidRPr="00AA2683">
              <w:rPr>
                <w:rFonts w:ascii="Arial" w:eastAsia="Calibri" w:hAnsi="Arial" w:cs="Arial"/>
                <w:bCs/>
                <w:iCs/>
                <w:color w:val="000000" w:themeColor="text1"/>
              </w:rPr>
              <w:t xml:space="preserve">. </w:t>
            </w:r>
            <w:r w:rsidRPr="00AA2683">
              <w:rPr>
                <w:rFonts w:ascii="Arial" w:eastAsia="Calibri" w:hAnsi="Arial" w:cs="Arial"/>
                <w:bCs/>
                <w:iCs/>
                <w:color w:val="000000" w:themeColor="text1"/>
              </w:rPr>
              <w:t>The t</w:t>
            </w:r>
            <w:r w:rsidR="00B20BF6" w:rsidRPr="00AA2683">
              <w:rPr>
                <w:rFonts w:ascii="Arial" w:eastAsia="Calibri" w:hAnsi="Arial" w:cs="Arial"/>
                <w:bCs/>
                <w:iCs/>
                <w:color w:val="000000" w:themeColor="text1"/>
              </w:rPr>
              <w:t xml:space="preserve">rainee logbook </w:t>
            </w:r>
            <w:r w:rsidR="00EE72B5" w:rsidRPr="00AA2683">
              <w:rPr>
                <w:rFonts w:ascii="Arial" w:eastAsia="Calibri" w:hAnsi="Arial" w:cs="Arial"/>
                <w:bCs/>
                <w:iCs/>
                <w:color w:val="000000" w:themeColor="text1"/>
              </w:rPr>
              <w:t>example</w:t>
            </w:r>
            <w:r w:rsidR="00B20BF6" w:rsidRPr="00AA2683">
              <w:rPr>
                <w:rFonts w:ascii="Arial" w:eastAsia="Calibri" w:hAnsi="Arial" w:cs="Arial"/>
                <w:bCs/>
                <w:iCs/>
                <w:color w:val="000000" w:themeColor="text1"/>
              </w:rPr>
              <w:t xml:space="preserve"> </w:t>
            </w:r>
            <w:r w:rsidR="00E27DC1" w:rsidRPr="00AA2683">
              <w:rPr>
                <w:rFonts w:ascii="Arial" w:eastAsia="Calibri" w:hAnsi="Arial" w:cs="Arial"/>
                <w:bCs/>
                <w:iCs/>
                <w:color w:val="000000" w:themeColor="text1"/>
              </w:rPr>
              <w:t>demonstrate</w:t>
            </w:r>
            <w:r w:rsidRPr="00AA2683">
              <w:rPr>
                <w:rFonts w:ascii="Arial" w:eastAsia="Calibri" w:hAnsi="Arial" w:cs="Arial"/>
                <w:bCs/>
                <w:iCs/>
                <w:color w:val="000000" w:themeColor="text1"/>
              </w:rPr>
              <w:t>d the</w:t>
            </w:r>
            <w:r w:rsidR="00B20BF6" w:rsidRPr="00AA2683">
              <w:rPr>
                <w:rFonts w:ascii="Arial" w:eastAsia="Calibri" w:hAnsi="Arial" w:cs="Arial"/>
                <w:bCs/>
                <w:iCs/>
                <w:color w:val="000000" w:themeColor="text1"/>
              </w:rPr>
              <w:t xml:space="preserve"> number of different supervisors </w:t>
            </w:r>
            <w:r w:rsidR="00E27DC1" w:rsidRPr="00AA2683">
              <w:rPr>
                <w:rFonts w:ascii="Arial" w:eastAsia="Calibri" w:hAnsi="Arial" w:cs="Arial"/>
                <w:bCs/>
                <w:iCs/>
                <w:color w:val="000000" w:themeColor="text1"/>
              </w:rPr>
              <w:t>involved</w:t>
            </w:r>
            <w:r w:rsidR="00B20BF6" w:rsidRPr="00AA2683">
              <w:rPr>
                <w:rFonts w:ascii="Arial" w:eastAsia="Calibri" w:hAnsi="Arial" w:cs="Arial"/>
                <w:bCs/>
                <w:iCs/>
                <w:color w:val="000000" w:themeColor="text1"/>
              </w:rPr>
              <w:t xml:space="preserve"> in training</w:t>
            </w:r>
            <w:r w:rsidRPr="00AA2683">
              <w:rPr>
                <w:rFonts w:ascii="Arial" w:eastAsia="Calibri" w:hAnsi="Arial" w:cs="Arial"/>
                <w:bCs/>
                <w:iCs/>
                <w:color w:val="000000" w:themeColor="text1"/>
              </w:rPr>
              <w:t>.</w:t>
            </w:r>
          </w:p>
          <w:p w14:paraId="4A4784A4" w14:textId="34B85462" w:rsidR="00F8650D" w:rsidRDefault="00F8650D" w:rsidP="00D6729D">
            <w:pPr>
              <w:contextualSpacing/>
              <w:rPr>
                <w:rFonts w:ascii="Arial" w:eastAsia="Calibri" w:hAnsi="Arial" w:cs="Arial"/>
                <w:bCs/>
                <w:iCs/>
                <w:color w:val="000000" w:themeColor="text1"/>
              </w:rPr>
            </w:pPr>
          </w:p>
          <w:p w14:paraId="4C02B453" w14:textId="7B9DC9F7" w:rsidR="00AA2683" w:rsidRPr="00F8650D" w:rsidRDefault="00B20BF6" w:rsidP="00D6729D">
            <w:pPr>
              <w:contextualSpacing/>
              <w:rPr>
                <w:rFonts w:ascii="Arial" w:eastAsia="Calibri" w:hAnsi="Arial" w:cs="Arial"/>
                <w:bCs/>
                <w:iCs/>
                <w:color w:val="000000" w:themeColor="text1"/>
              </w:rPr>
            </w:pPr>
            <w:r w:rsidRPr="00F8650D">
              <w:rPr>
                <w:rFonts w:ascii="Arial" w:eastAsia="Calibri" w:hAnsi="Arial" w:cs="Arial"/>
                <w:bCs/>
                <w:iCs/>
                <w:color w:val="000000" w:themeColor="text1"/>
              </w:rPr>
              <w:t xml:space="preserve">In addition, it is clear that each </w:t>
            </w:r>
            <w:r w:rsidR="00EE72B5">
              <w:rPr>
                <w:rFonts w:ascii="Arial" w:eastAsia="Calibri" w:hAnsi="Arial" w:cs="Arial"/>
                <w:bCs/>
                <w:iCs/>
                <w:color w:val="000000" w:themeColor="text1"/>
              </w:rPr>
              <w:t>Specialty Advisory Committee (</w:t>
            </w:r>
            <w:r w:rsidRPr="00F8650D">
              <w:rPr>
                <w:rFonts w:ascii="Arial" w:eastAsia="Calibri" w:hAnsi="Arial" w:cs="Arial"/>
                <w:bCs/>
                <w:iCs/>
                <w:color w:val="000000" w:themeColor="text1"/>
              </w:rPr>
              <w:t>SAC</w:t>
            </w:r>
            <w:r w:rsidR="00EE72B5">
              <w:rPr>
                <w:rFonts w:ascii="Arial" w:eastAsia="Calibri" w:hAnsi="Arial" w:cs="Arial"/>
                <w:bCs/>
                <w:iCs/>
                <w:color w:val="000000" w:themeColor="text1"/>
              </w:rPr>
              <w:t>)</w:t>
            </w:r>
            <w:r w:rsidRPr="00F8650D">
              <w:rPr>
                <w:rFonts w:ascii="Arial" w:eastAsia="Calibri" w:hAnsi="Arial" w:cs="Arial"/>
                <w:bCs/>
                <w:iCs/>
                <w:color w:val="000000" w:themeColor="text1"/>
              </w:rPr>
              <w:t xml:space="preserve"> has oversight of the progress of each trainee undertaking that specialty. Approval is also sought from the </w:t>
            </w:r>
            <w:r w:rsidR="00AA2683" w:rsidRPr="00F8650D">
              <w:rPr>
                <w:rFonts w:ascii="Arial" w:eastAsia="Calibri" w:hAnsi="Arial" w:cs="Arial"/>
                <w:bCs/>
                <w:iCs/>
                <w:color w:val="000000" w:themeColor="text1"/>
              </w:rPr>
              <w:t>SAC in</w:t>
            </w:r>
            <w:r w:rsidRPr="00F8650D">
              <w:rPr>
                <w:rFonts w:ascii="Arial" w:eastAsia="Calibri" w:hAnsi="Arial" w:cs="Arial"/>
                <w:bCs/>
                <w:iCs/>
                <w:color w:val="000000" w:themeColor="text1"/>
              </w:rPr>
              <w:t xml:space="preserve"> relation to new/modified </w:t>
            </w:r>
            <w:r w:rsidR="00AA2683" w:rsidRPr="00F8650D">
              <w:rPr>
                <w:rFonts w:ascii="Arial" w:eastAsia="Calibri" w:hAnsi="Arial" w:cs="Arial"/>
                <w:bCs/>
                <w:iCs/>
                <w:color w:val="000000" w:themeColor="text1"/>
              </w:rPr>
              <w:t>trainee</w:t>
            </w:r>
            <w:r w:rsidRPr="00F8650D">
              <w:rPr>
                <w:rFonts w:ascii="Arial" w:eastAsia="Calibri" w:hAnsi="Arial" w:cs="Arial"/>
                <w:bCs/>
                <w:iCs/>
                <w:color w:val="000000" w:themeColor="text1"/>
              </w:rPr>
              <w:t xml:space="preserve"> posts.</w:t>
            </w:r>
          </w:p>
          <w:p w14:paraId="2C168823" w14:textId="77777777" w:rsidR="00AA2683" w:rsidRPr="00F8650D" w:rsidRDefault="00AA2683" w:rsidP="00D6729D">
            <w:pPr>
              <w:contextualSpacing/>
              <w:rPr>
                <w:rFonts w:ascii="Arial" w:eastAsia="Calibri" w:hAnsi="Arial" w:cs="Arial"/>
                <w:bCs/>
                <w:iCs/>
                <w:color w:val="000000" w:themeColor="text1"/>
              </w:rPr>
            </w:pPr>
          </w:p>
          <w:p w14:paraId="7C69A7F9" w14:textId="77777777" w:rsidR="00F8650D" w:rsidRPr="00F8650D" w:rsidRDefault="00F8650D" w:rsidP="00F8650D">
            <w:pPr>
              <w:contextualSpacing/>
              <w:rPr>
                <w:rFonts w:ascii="Arial" w:eastAsia="Calibri" w:hAnsi="Arial" w:cs="Arial"/>
                <w:bCs/>
                <w:iCs/>
                <w:color w:val="000000" w:themeColor="text1"/>
              </w:rPr>
            </w:pPr>
            <w:r w:rsidRPr="00F8650D">
              <w:rPr>
                <w:rFonts w:ascii="Arial" w:eastAsia="Calibri" w:hAnsi="Arial" w:cs="Arial"/>
                <w:bCs/>
                <w:iCs/>
                <w:color w:val="000000" w:themeColor="text1"/>
              </w:rPr>
              <w:t>Trainees shadow for the first 1-2 weeks to allow trainers to assess their knowledge,</w:t>
            </w:r>
          </w:p>
          <w:p w14:paraId="20B3C4C1" w14:textId="0AB1400E" w:rsidR="00F8650D" w:rsidRDefault="00F8650D" w:rsidP="00D6729D">
            <w:pPr>
              <w:contextualSpacing/>
              <w:rPr>
                <w:rFonts w:ascii="Arial" w:eastAsia="Calibri" w:hAnsi="Arial" w:cs="Arial"/>
                <w:bCs/>
                <w:iCs/>
                <w:color w:val="000000" w:themeColor="text1"/>
              </w:rPr>
            </w:pPr>
            <w:r w:rsidRPr="00F8650D">
              <w:rPr>
                <w:rFonts w:ascii="Arial" w:eastAsia="Calibri" w:hAnsi="Arial" w:cs="Arial"/>
                <w:bCs/>
                <w:iCs/>
                <w:color w:val="000000" w:themeColor="text1"/>
              </w:rPr>
              <w:lastRenderedPageBreak/>
              <w:t xml:space="preserve">skills and competencies, so </w:t>
            </w:r>
            <w:r w:rsidR="00316FC9">
              <w:rPr>
                <w:rFonts w:ascii="Arial" w:eastAsia="Calibri" w:hAnsi="Arial" w:cs="Arial"/>
                <w:bCs/>
                <w:iCs/>
                <w:color w:val="000000" w:themeColor="text1"/>
              </w:rPr>
              <w:t xml:space="preserve">that </w:t>
            </w:r>
            <w:r w:rsidRPr="00F8650D">
              <w:rPr>
                <w:rFonts w:ascii="Arial" w:eastAsia="Calibri" w:hAnsi="Arial" w:cs="Arial"/>
                <w:bCs/>
                <w:iCs/>
                <w:color w:val="000000" w:themeColor="text1"/>
              </w:rPr>
              <w:t>the correct patients can be allocated</w:t>
            </w:r>
            <w:r w:rsidR="008F6F49">
              <w:rPr>
                <w:rFonts w:ascii="Arial" w:eastAsia="Calibri" w:hAnsi="Arial" w:cs="Arial"/>
                <w:bCs/>
                <w:iCs/>
                <w:color w:val="000000" w:themeColor="text1"/>
              </w:rPr>
              <w:t xml:space="preserve"> to</w:t>
            </w:r>
            <w:r w:rsidRPr="00F8650D">
              <w:rPr>
                <w:rFonts w:ascii="Arial" w:eastAsia="Calibri" w:hAnsi="Arial" w:cs="Arial"/>
                <w:bCs/>
                <w:iCs/>
                <w:color w:val="000000" w:themeColor="text1"/>
              </w:rPr>
              <w:t xml:space="preserve"> them for treatment.</w:t>
            </w:r>
            <w:r>
              <w:rPr>
                <w:rFonts w:ascii="Arial" w:eastAsia="Calibri" w:hAnsi="Arial" w:cs="Arial"/>
                <w:bCs/>
                <w:iCs/>
                <w:color w:val="000000" w:themeColor="text1"/>
              </w:rPr>
              <w:t xml:space="preserve"> Evidence was provided which assured us that </w:t>
            </w:r>
            <w:r w:rsidR="00B20BF6" w:rsidRPr="00F8650D">
              <w:rPr>
                <w:rFonts w:ascii="Arial" w:eastAsia="Calibri" w:hAnsi="Arial" w:cs="Arial"/>
                <w:bCs/>
                <w:iCs/>
                <w:color w:val="000000" w:themeColor="text1"/>
              </w:rPr>
              <w:t>the</w:t>
            </w:r>
            <w:r w:rsidRPr="00F8650D">
              <w:rPr>
                <w:rFonts w:ascii="Arial" w:eastAsia="Calibri" w:hAnsi="Arial" w:cs="Arial"/>
                <w:bCs/>
                <w:iCs/>
                <w:color w:val="000000" w:themeColor="text1"/>
              </w:rPr>
              <w:t>re is a good</w:t>
            </w:r>
            <w:r w:rsidR="00B20BF6" w:rsidRPr="00F8650D">
              <w:rPr>
                <w:rFonts w:ascii="Arial" w:eastAsia="Calibri" w:hAnsi="Arial" w:cs="Arial"/>
                <w:bCs/>
                <w:iCs/>
                <w:color w:val="000000" w:themeColor="text1"/>
              </w:rPr>
              <w:t xml:space="preserve"> level of detail obtained from </w:t>
            </w:r>
            <w:r w:rsidR="00D30227">
              <w:rPr>
                <w:rFonts w:ascii="Arial" w:eastAsia="Calibri" w:hAnsi="Arial" w:cs="Arial"/>
                <w:bCs/>
                <w:iCs/>
                <w:color w:val="000000" w:themeColor="text1"/>
              </w:rPr>
              <w:t>local offices</w:t>
            </w:r>
            <w:r w:rsidR="00B20BF6" w:rsidRPr="00F8650D">
              <w:rPr>
                <w:rFonts w:ascii="Arial" w:eastAsia="Calibri" w:hAnsi="Arial" w:cs="Arial"/>
                <w:bCs/>
                <w:iCs/>
                <w:color w:val="000000" w:themeColor="text1"/>
              </w:rPr>
              <w:t xml:space="preserve"> prior to </w:t>
            </w:r>
            <w:r w:rsidRPr="00F8650D">
              <w:rPr>
                <w:rFonts w:ascii="Arial" w:eastAsia="Calibri" w:hAnsi="Arial" w:cs="Arial"/>
                <w:bCs/>
                <w:iCs/>
                <w:color w:val="000000" w:themeColor="text1"/>
              </w:rPr>
              <w:t>trainees</w:t>
            </w:r>
            <w:r w:rsidR="00B20BF6" w:rsidRPr="00F8650D">
              <w:rPr>
                <w:rFonts w:ascii="Arial" w:eastAsia="Calibri" w:hAnsi="Arial" w:cs="Arial"/>
                <w:bCs/>
                <w:iCs/>
                <w:color w:val="000000" w:themeColor="text1"/>
              </w:rPr>
              <w:t xml:space="preserve"> commencing their role. </w:t>
            </w:r>
          </w:p>
          <w:p w14:paraId="79439E61" w14:textId="321FF4D6" w:rsidR="00F8650D" w:rsidRDefault="00F8650D" w:rsidP="00D6729D">
            <w:pPr>
              <w:contextualSpacing/>
              <w:rPr>
                <w:rFonts w:ascii="Arial" w:eastAsia="Calibri" w:hAnsi="Arial" w:cs="Arial"/>
                <w:bCs/>
                <w:iCs/>
                <w:color w:val="000000" w:themeColor="text1"/>
              </w:rPr>
            </w:pPr>
          </w:p>
          <w:p w14:paraId="0F008A7D" w14:textId="542F901C" w:rsidR="00F8650D" w:rsidRDefault="00F8650D" w:rsidP="00D6729D">
            <w:pPr>
              <w:contextualSpacing/>
              <w:rPr>
                <w:rFonts w:ascii="Arial" w:eastAsia="Calibri" w:hAnsi="Arial" w:cs="Arial"/>
                <w:bCs/>
                <w:iCs/>
                <w:color w:val="000000" w:themeColor="text1"/>
              </w:rPr>
            </w:pPr>
            <w:r>
              <w:rPr>
                <w:rFonts w:ascii="Arial" w:eastAsia="Calibri" w:hAnsi="Arial" w:cs="Arial"/>
                <w:bCs/>
                <w:iCs/>
                <w:color w:val="000000" w:themeColor="text1"/>
              </w:rPr>
              <w:t>As</w:t>
            </w:r>
            <w:r w:rsidRPr="00F8650D">
              <w:rPr>
                <w:rFonts w:ascii="Arial" w:eastAsia="Calibri" w:hAnsi="Arial" w:cs="Arial"/>
                <w:bCs/>
                <w:iCs/>
                <w:color w:val="000000" w:themeColor="text1"/>
              </w:rPr>
              <w:t xml:space="preserve"> there have been no</w:t>
            </w:r>
            <w:r w:rsidR="008F6F49">
              <w:rPr>
                <w:rFonts w:ascii="Arial" w:eastAsia="Calibri" w:hAnsi="Arial" w:cs="Arial"/>
                <w:bCs/>
                <w:iCs/>
                <w:color w:val="000000" w:themeColor="text1"/>
              </w:rPr>
              <w:t xml:space="preserve"> Serious Untoward Incidents</w:t>
            </w:r>
            <w:r w:rsidRPr="00F8650D">
              <w:rPr>
                <w:rFonts w:ascii="Arial" w:eastAsia="Calibri" w:hAnsi="Arial" w:cs="Arial"/>
                <w:bCs/>
                <w:iCs/>
                <w:color w:val="000000" w:themeColor="text1"/>
              </w:rPr>
              <w:t xml:space="preserve"> </w:t>
            </w:r>
            <w:r w:rsidR="008F6F49">
              <w:rPr>
                <w:rFonts w:ascii="Arial" w:eastAsia="Calibri" w:hAnsi="Arial" w:cs="Arial"/>
                <w:bCs/>
                <w:iCs/>
                <w:color w:val="000000" w:themeColor="text1"/>
              </w:rPr>
              <w:t>(</w:t>
            </w:r>
            <w:r w:rsidRPr="00F8650D">
              <w:rPr>
                <w:rFonts w:ascii="Arial" w:eastAsia="Calibri" w:hAnsi="Arial" w:cs="Arial"/>
                <w:bCs/>
                <w:iCs/>
                <w:color w:val="000000" w:themeColor="text1"/>
              </w:rPr>
              <w:t>SUIs</w:t>
            </w:r>
            <w:r w:rsidR="008F6F49">
              <w:rPr>
                <w:rFonts w:ascii="Arial" w:eastAsia="Calibri" w:hAnsi="Arial" w:cs="Arial"/>
                <w:bCs/>
                <w:iCs/>
                <w:color w:val="000000" w:themeColor="text1"/>
              </w:rPr>
              <w:t>)</w:t>
            </w:r>
            <w:r w:rsidRPr="00F8650D">
              <w:rPr>
                <w:rFonts w:ascii="Arial" w:eastAsia="Calibri" w:hAnsi="Arial" w:cs="Arial"/>
                <w:bCs/>
                <w:iCs/>
                <w:color w:val="000000" w:themeColor="text1"/>
              </w:rPr>
              <w:t xml:space="preserve"> involving </w:t>
            </w:r>
            <w:r w:rsidR="00316FC9">
              <w:rPr>
                <w:rFonts w:ascii="Arial" w:eastAsia="Calibri" w:hAnsi="Arial" w:cs="Arial"/>
                <w:bCs/>
                <w:iCs/>
                <w:color w:val="000000" w:themeColor="text1"/>
              </w:rPr>
              <w:t>S</w:t>
            </w:r>
            <w:r>
              <w:rPr>
                <w:rFonts w:ascii="Arial" w:eastAsia="Calibri" w:hAnsi="Arial" w:cs="Arial"/>
                <w:bCs/>
                <w:iCs/>
                <w:color w:val="000000" w:themeColor="text1"/>
              </w:rPr>
              <w:t xml:space="preserve">pecialty </w:t>
            </w:r>
            <w:r w:rsidR="00316FC9">
              <w:rPr>
                <w:rFonts w:ascii="Arial" w:eastAsia="Calibri" w:hAnsi="Arial" w:cs="Arial"/>
                <w:bCs/>
                <w:iCs/>
                <w:color w:val="000000" w:themeColor="text1"/>
              </w:rPr>
              <w:t>T</w:t>
            </w:r>
            <w:r>
              <w:rPr>
                <w:rFonts w:ascii="Arial" w:eastAsia="Calibri" w:hAnsi="Arial" w:cs="Arial"/>
                <w:bCs/>
                <w:iCs/>
                <w:color w:val="000000" w:themeColor="text1"/>
              </w:rPr>
              <w:t xml:space="preserve">rainees </w:t>
            </w:r>
            <w:r w:rsidR="006D3C06">
              <w:rPr>
                <w:rFonts w:ascii="Arial" w:eastAsia="Calibri" w:hAnsi="Arial" w:cs="Arial"/>
                <w:bCs/>
                <w:iCs/>
                <w:color w:val="000000" w:themeColor="text1"/>
              </w:rPr>
              <w:t xml:space="preserve">(in the last seven years) </w:t>
            </w:r>
            <w:r>
              <w:rPr>
                <w:rFonts w:ascii="Arial" w:eastAsia="Calibri" w:hAnsi="Arial" w:cs="Arial"/>
                <w:bCs/>
                <w:iCs/>
                <w:color w:val="000000" w:themeColor="text1"/>
              </w:rPr>
              <w:t xml:space="preserve">it </w:t>
            </w:r>
            <w:r w:rsidRPr="00F8650D">
              <w:rPr>
                <w:rFonts w:ascii="Arial" w:eastAsia="Calibri" w:hAnsi="Arial" w:cs="Arial"/>
                <w:bCs/>
                <w:iCs/>
                <w:color w:val="000000" w:themeColor="text1"/>
              </w:rPr>
              <w:t xml:space="preserve">is another indication that </w:t>
            </w:r>
            <w:r>
              <w:rPr>
                <w:rFonts w:ascii="Arial" w:eastAsia="Calibri" w:hAnsi="Arial" w:cs="Arial"/>
                <w:bCs/>
                <w:iCs/>
                <w:color w:val="000000" w:themeColor="text1"/>
              </w:rPr>
              <w:t>they</w:t>
            </w:r>
            <w:r w:rsidRPr="00F8650D">
              <w:rPr>
                <w:rFonts w:ascii="Arial" w:eastAsia="Calibri" w:hAnsi="Arial" w:cs="Arial"/>
                <w:bCs/>
                <w:iCs/>
                <w:color w:val="000000" w:themeColor="text1"/>
              </w:rPr>
              <w:t xml:space="preserve"> are appropriately supervised.</w:t>
            </w:r>
          </w:p>
          <w:p w14:paraId="3AD02F8C" w14:textId="5FBCDDE2" w:rsidR="008F6F49" w:rsidRDefault="008F6F49" w:rsidP="00D6729D">
            <w:pPr>
              <w:contextualSpacing/>
              <w:rPr>
                <w:rFonts w:ascii="Arial" w:eastAsia="Calibri" w:hAnsi="Arial" w:cs="Arial"/>
                <w:bCs/>
                <w:iCs/>
                <w:color w:val="000000" w:themeColor="text1"/>
              </w:rPr>
            </w:pPr>
          </w:p>
          <w:p w14:paraId="6B9900A3" w14:textId="4BDE2958" w:rsidR="008F6F49" w:rsidRPr="00F8650D" w:rsidRDefault="008F6F49" w:rsidP="00D6729D">
            <w:pPr>
              <w:contextualSpacing/>
              <w:rPr>
                <w:rFonts w:ascii="Arial" w:eastAsia="Calibri" w:hAnsi="Arial" w:cs="Arial"/>
                <w:bCs/>
                <w:iCs/>
                <w:color w:val="000000" w:themeColor="text1"/>
              </w:rPr>
            </w:pPr>
            <w:r>
              <w:rPr>
                <w:rFonts w:ascii="Arial" w:eastAsia="Calibri" w:hAnsi="Arial" w:cs="Arial"/>
                <w:bCs/>
                <w:iCs/>
                <w:color w:val="000000" w:themeColor="text1"/>
              </w:rPr>
              <w:t xml:space="preserve">We consider this requirement to be </w:t>
            </w:r>
            <w:r w:rsidRPr="00D8280A">
              <w:rPr>
                <w:rFonts w:ascii="Arial" w:eastAsia="Calibri" w:hAnsi="Arial" w:cs="Arial"/>
                <w:b/>
                <w:iCs/>
                <w:color w:val="000000" w:themeColor="text1"/>
              </w:rPr>
              <w:t>met</w:t>
            </w:r>
            <w:r>
              <w:rPr>
                <w:rFonts w:ascii="Arial" w:eastAsia="Calibri" w:hAnsi="Arial" w:cs="Arial"/>
                <w:bCs/>
                <w:iCs/>
                <w:color w:val="000000" w:themeColor="text1"/>
              </w:rPr>
              <w:t>.</w:t>
            </w:r>
          </w:p>
          <w:p w14:paraId="5A5D69F5" w14:textId="77777777" w:rsidR="00E2148E" w:rsidRDefault="00E2148E" w:rsidP="00D6729D">
            <w:pPr>
              <w:contextualSpacing/>
              <w:rPr>
                <w:rFonts w:ascii="Arial" w:eastAsia="Calibri" w:hAnsi="Arial" w:cs="Arial"/>
                <w:color w:val="000000" w:themeColor="text1"/>
              </w:rPr>
            </w:pPr>
          </w:p>
          <w:p w14:paraId="4CB6B073" w14:textId="2483F133" w:rsidR="00E2148E" w:rsidRDefault="005D5820" w:rsidP="00D6729D">
            <w:pPr>
              <w:contextualSpacing/>
              <w:rPr>
                <w:rFonts w:ascii="Arial" w:eastAsia="Calibri" w:hAnsi="Arial" w:cs="Arial"/>
                <w:b/>
                <w:iCs/>
                <w:color w:val="000000" w:themeColor="text1"/>
              </w:rPr>
            </w:pPr>
            <w:r>
              <w:rPr>
                <w:rFonts w:ascii="Arial" w:eastAsia="Calibri" w:hAnsi="Arial" w:cs="Arial"/>
                <w:b/>
                <w:color w:val="000000" w:themeColor="text1"/>
              </w:rPr>
              <w:t>P</w:t>
            </w:r>
            <w:r w:rsidR="00E2148E">
              <w:rPr>
                <w:rFonts w:ascii="Arial" w:eastAsia="Calibri" w:hAnsi="Arial" w:cs="Arial"/>
                <w:b/>
                <w:color w:val="000000" w:themeColor="text1"/>
              </w:rPr>
              <w:t xml:space="preserve">5: </w:t>
            </w:r>
            <w:r w:rsidR="009755BA" w:rsidRPr="00ED54F1">
              <w:rPr>
                <w:rFonts w:ascii="Arial" w:hAnsi="Arial" w:cs="Arial"/>
                <w:b/>
                <w:i/>
                <w:noProof/>
                <w:sz w:val="20"/>
                <w:szCs w:val="20"/>
                <w:lang w:eastAsia="en-GB"/>
              </w:rPr>
              <w:t xml:space="preserve"> </w:t>
            </w:r>
            <w:r w:rsidR="009755BA" w:rsidRPr="009755BA">
              <w:rPr>
                <w:rFonts w:ascii="Arial" w:hAnsi="Arial" w:cs="Arial"/>
                <w:b/>
                <w:iCs/>
                <w:noProof/>
                <w:lang w:eastAsia="en-GB"/>
              </w:rPr>
              <w:t>All</w:t>
            </w:r>
            <w:r w:rsidR="009755BA" w:rsidRPr="009755BA">
              <w:rPr>
                <w:rFonts w:ascii="Arial" w:eastAsia="Calibri" w:hAnsi="Arial" w:cs="Arial"/>
                <w:b/>
                <w:iCs/>
                <w:color w:val="000000" w:themeColor="text1"/>
              </w:rPr>
              <w:t xml:space="preserve"> educational and clinical supervisors must be appropriately qualified and trained, including training in equality and diversity where relevant to the role. Clinical supervisors must have registration with a UK regulatory body. There must be a clear rationale underpinning whether individual clinical supervisors are/are not included on a specialist list.</w:t>
            </w:r>
            <w:r w:rsidR="009755BA">
              <w:rPr>
                <w:rFonts w:ascii="Arial" w:eastAsia="Calibri" w:hAnsi="Arial" w:cs="Arial"/>
                <w:b/>
                <w:iCs/>
                <w:color w:val="000000" w:themeColor="text1"/>
              </w:rPr>
              <w:t xml:space="preserve"> </w:t>
            </w:r>
            <w:r w:rsidR="00611DFC">
              <w:rPr>
                <w:rFonts w:ascii="Arial" w:eastAsia="Calibri" w:hAnsi="Arial" w:cs="Arial"/>
                <w:b/>
                <w:iCs/>
                <w:color w:val="000000" w:themeColor="text1"/>
              </w:rPr>
              <w:t>(</w:t>
            </w:r>
            <w:r w:rsidR="009755BA">
              <w:rPr>
                <w:rFonts w:ascii="Arial" w:eastAsia="Calibri" w:hAnsi="Arial" w:cs="Arial"/>
                <w:b/>
                <w:iCs/>
                <w:color w:val="000000" w:themeColor="text1"/>
              </w:rPr>
              <w:t xml:space="preserve">Requirement </w:t>
            </w:r>
            <w:r w:rsidR="00A22C30" w:rsidRPr="00D83405">
              <w:rPr>
                <w:rFonts w:ascii="Arial" w:eastAsia="Calibri" w:hAnsi="Arial" w:cs="Arial"/>
                <w:b/>
                <w:iCs/>
                <w:color w:val="000000" w:themeColor="text1"/>
              </w:rPr>
              <w:t>Partly Met</w:t>
            </w:r>
            <w:r w:rsidR="00611DFC">
              <w:rPr>
                <w:rFonts w:ascii="Arial" w:eastAsia="Calibri" w:hAnsi="Arial" w:cs="Arial"/>
                <w:b/>
                <w:iCs/>
                <w:color w:val="000000" w:themeColor="text1"/>
              </w:rPr>
              <w:t>)</w:t>
            </w:r>
            <w:r w:rsidR="009755BA">
              <w:rPr>
                <w:rFonts w:ascii="Arial" w:eastAsia="Calibri" w:hAnsi="Arial" w:cs="Arial"/>
                <w:b/>
                <w:iCs/>
                <w:color w:val="000000" w:themeColor="text1"/>
              </w:rPr>
              <w:t>.</w:t>
            </w:r>
          </w:p>
          <w:p w14:paraId="74C90824" w14:textId="77777777" w:rsidR="00C70773" w:rsidRDefault="00C70773" w:rsidP="00D6729D">
            <w:pPr>
              <w:contextualSpacing/>
              <w:rPr>
                <w:rFonts w:ascii="Arial" w:eastAsia="Calibri" w:hAnsi="Arial" w:cs="Arial"/>
                <w:b/>
                <w:iCs/>
                <w:color w:val="000000" w:themeColor="text1"/>
              </w:rPr>
            </w:pPr>
          </w:p>
          <w:p w14:paraId="4C441C25" w14:textId="28D18776" w:rsidR="00DB1061" w:rsidRDefault="0043397F" w:rsidP="00D6729D">
            <w:pPr>
              <w:contextualSpacing/>
              <w:rPr>
                <w:rFonts w:ascii="Arial" w:eastAsia="Calibri" w:hAnsi="Arial" w:cs="Arial"/>
                <w:bCs/>
                <w:iCs/>
                <w:color w:val="000000" w:themeColor="text1"/>
              </w:rPr>
            </w:pPr>
            <w:r w:rsidRPr="0043397F">
              <w:rPr>
                <w:rFonts w:ascii="Arial" w:eastAsia="Calibri" w:hAnsi="Arial" w:cs="Arial"/>
                <w:bCs/>
                <w:iCs/>
                <w:color w:val="000000" w:themeColor="text1"/>
              </w:rPr>
              <w:t>Structures are in place setting out the person specification and terms of appointment of Training Programme Directors</w:t>
            </w:r>
            <w:r w:rsidR="00940F80">
              <w:rPr>
                <w:rFonts w:ascii="Arial" w:eastAsia="Calibri" w:hAnsi="Arial" w:cs="Arial"/>
                <w:bCs/>
                <w:iCs/>
                <w:color w:val="000000" w:themeColor="text1"/>
              </w:rPr>
              <w:t xml:space="preserve"> (TPD)</w:t>
            </w:r>
            <w:r w:rsidRPr="0043397F">
              <w:rPr>
                <w:rFonts w:ascii="Arial" w:eastAsia="Calibri" w:hAnsi="Arial" w:cs="Arial"/>
                <w:bCs/>
                <w:iCs/>
                <w:color w:val="000000" w:themeColor="text1"/>
              </w:rPr>
              <w:t xml:space="preserve">, </w:t>
            </w:r>
            <w:r w:rsidR="00316FC9">
              <w:rPr>
                <w:rFonts w:ascii="Arial" w:eastAsia="Calibri" w:hAnsi="Arial" w:cs="Arial"/>
                <w:bCs/>
                <w:iCs/>
                <w:color w:val="000000" w:themeColor="text1"/>
              </w:rPr>
              <w:t>ES</w:t>
            </w:r>
            <w:r w:rsidRPr="0043397F">
              <w:rPr>
                <w:rFonts w:ascii="Arial" w:eastAsia="Calibri" w:hAnsi="Arial" w:cs="Arial"/>
                <w:bCs/>
                <w:iCs/>
                <w:color w:val="000000" w:themeColor="text1"/>
              </w:rPr>
              <w:t xml:space="preserve"> and </w:t>
            </w:r>
            <w:r w:rsidR="00316FC9">
              <w:rPr>
                <w:rFonts w:ascii="Arial" w:eastAsia="Calibri" w:hAnsi="Arial" w:cs="Arial"/>
                <w:bCs/>
                <w:iCs/>
                <w:color w:val="000000" w:themeColor="text1"/>
              </w:rPr>
              <w:t>C</w:t>
            </w:r>
            <w:r w:rsidR="0086593D">
              <w:rPr>
                <w:rFonts w:ascii="Arial" w:eastAsia="Calibri" w:hAnsi="Arial" w:cs="Arial"/>
                <w:bCs/>
                <w:iCs/>
                <w:color w:val="000000" w:themeColor="text1"/>
              </w:rPr>
              <w:t>S</w:t>
            </w:r>
            <w:r w:rsidR="00940F80">
              <w:rPr>
                <w:rFonts w:ascii="Arial" w:eastAsia="Calibri" w:hAnsi="Arial" w:cs="Arial"/>
                <w:bCs/>
                <w:iCs/>
                <w:color w:val="000000" w:themeColor="text1"/>
              </w:rPr>
              <w:t>.</w:t>
            </w:r>
          </w:p>
          <w:p w14:paraId="395D6F2A" w14:textId="77777777" w:rsidR="00DB1061" w:rsidRDefault="00DB1061" w:rsidP="00D6729D">
            <w:pPr>
              <w:contextualSpacing/>
              <w:rPr>
                <w:rFonts w:ascii="Arial" w:eastAsia="Calibri" w:hAnsi="Arial" w:cs="Arial"/>
                <w:bCs/>
                <w:iCs/>
                <w:color w:val="000000" w:themeColor="text1"/>
              </w:rPr>
            </w:pPr>
          </w:p>
          <w:p w14:paraId="5481A652" w14:textId="033A5B1A" w:rsidR="0043397F" w:rsidRDefault="00DB1061" w:rsidP="00D6729D">
            <w:pPr>
              <w:contextualSpacing/>
              <w:rPr>
                <w:rFonts w:ascii="Arial" w:eastAsia="Calibri" w:hAnsi="Arial" w:cs="Arial"/>
                <w:bCs/>
                <w:iCs/>
                <w:color w:val="000000" w:themeColor="text1"/>
              </w:rPr>
            </w:pPr>
            <w:r>
              <w:rPr>
                <w:rFonts w:ascii="Arial" w:eastAsia="Calibri" w:hAnsi="Arial" w:cs="Arial"/>
                <w:bCs/>
                <w:iCs/>
                <w:color w:val="000000" w:themeColor="text1"/>
              </w:rPr>
              <w:t xml:space="preserve">It </w:t>
            </w:r>
            <w:r w:rsidR="0043397F" w:rsidRPr="0043397F">
              <w:rPr>
                <w:rFonts w:ascii="Arial" w:eastAsia="Calibri" w:hAnsi="Arial" w:cs="Arial"/>
                <w:bCs/>
                <w:iCs/>
                <w:color w:val="000000" w:themeColor="text1"/>
              </w:rPr>
              <w:t xml:space="preserve">is clear </w:t>
            </w:r>
            <w:r w:rsidRPr="0043397F">
              <w:rPr>
                <w:rFonts w:ascii="Arial" w:eastAsia="Calibri" w:hAnsi="Arial" w:cs="Arial"/>
                <w:bCs/>
                <w:iCs/>
                <w:color w:val="000000" w:themeColor="text1"/>
              </w:rPr>
              <w:t>from</w:t>
            </w:r>
            <w:r w:rsidR="0043397F" w:rsidRPr="0043397F">
              <w:rPr>
                <w:rFonts w:ascii="Arial" w:eastAsia="Calibri" w:hAnsi="Arial" w:cs="Arial"/>
                <w:bCs/>
                <w:iCs/>
                <w:color w:val="000000" w:themeColor="text1"/>
              </w:rPr>
              <w:t xml:space="preserve"> the evidence provided that </w:t>
            </w:r>
            <w:r w:rsidR="00865D76">
              <w:rPr>
                <w:rFonts w:ascii="Arial" w:eastAsia="Calibri" w:hAnsi="Arial" w:cs="Arial"/>
                <w:bCs/>
                <w:iCs/>
                <w:color w:val="000000" w:themeColor="text1"/>
              </w:rPr>
              <w:t>CS</w:t>
            </w:r>
            <w:r w:rsidR="0043397F" w:rsidRPr="0043397F">
              <w:rPr>
                <w:rFonts w:ascii="Arial" w:eastAsia="Calibri" w:hAnsi="Arial" w:cs="Arial"/>
                <w:bCs/>
                <w:iCs/>
                <w:color w:val="000000" w:themeColor="text1"/>
              </w:rPr>
              <w:t xml:space="preserve"> who are not qualified in a particular specialty</w:t>
            </w:r>
            <w:r>
              <w:rPr>
                <w:rFonts w:ascii="Arial" w:eastAsia="Calibri" w:hAnsi="Arial" w:cs="Arial"/>
                <w:bCs/>
                <w:iCs/>
                <w:color w:val="000000" w:themeColor="text1"/>
              </w:rPr>
              <w:t>,</w:t>
            </w:r>
            <w:r w:rsidR="0043397F" w:rsidRPr="0043397F">
              <w:rPr>
                <w:rFonts w:ascii="Arial" w:eastAsia="Calibri" w:hAnsi="Arial" w:cs="Arial"/>
                <w:bCs/>
                <w:iCs/>
                <w:color w:val="000000" w:themeColor="text1"/>
              </w:rPr>
              <w:t xml:space="preserve"> can only operate as clinical specialists with the approval of the P</w:t>
            </w:r>
            <w:r w:rsidR="00940F80">
              <w:rPr>
                <w:rFonts w:ascii="Arial" w:eastAsia="Calibri" w:hAnsi="Arial" w:cs="Arial"/>
                <w:bCs/>
                <w:iCs/>
                <w:color w:val="000000" w:themeColor="text1"/>
              </w:rPr>
              <w:t>GDD</w:t>
            </w:r>
            <w:r>
              <w:rPr>
                <w:rFonts w:ascii="Arial" w:eastAsia="Calibri" w:hAnsi="Arial" w:cs="Arial"/>
                <w:bCs/>
                <w:iCs/>
                <w:color w:val="000000" w:themeColor="text1"/>
              </w:rPr>
              <w:t>.</w:t>
            </w:r>
            <w:r w:rsidR="0043397F" w:rsidRPr="0043397F">
              <w:rPr>
                <w:rFonts w:ascii="Arial" w:eastAsia="Calibri" w:hAnsi="Arial" w:cs="Arial"/>
                <w:bCs/>
                <w:iCs/>
                <w:color w:val="000000" w:themeColor="text1"/>
              </w:rPr>
              <w:t xml:space="preserve"> </w:t>
            </w:r>
          </w:p>
          <w:p w14:paraId="7086B10F" w14:textId="7A438442" w:rsidR="00782400" w:rsidRDefault="00782400" w:rsidP="00D6729D">
            <w:pPr>
              <w:contextualSpacing/>
              <w:rPr>
                <w:rFonts w:ascii="Arial" w:eastAsia="Calibri" w:hAnsi="Arial" w:cs="Arial"/>
                <w:bCs/>
                <w:iCs/>
                <w:color w:val="000000" w:themeColor="text1"/>
              </w:rPr>
            </w:pPr>
          </w:p>
          <w:p w14:paraId="0B35C2E7" w14:textId="41ABE9D1" w:rsidR="00782400" w:rsidRDefault="00782400" w:rsidP="00D6729D">
            <w:pPr>
              <w:contextualSpacing/>
              <w:rPr>
                <w:rFonts w:ascii="Arial" w:eastAsia="Calibri" w:hAnsi="Arial" w:cs="Arial"/>
                <w:bCs/>
                <w:iCs/>
                <w:color w:val="000000" w:themeColor="text1"/>
              </w:rPr>
            </w:pPr>
            <w:r>
              <w:rPr>
                <w:rFonts w:ascii="Arial" w:eastAsia="Calibri" w:hAnsi="Arial" w:cs="Arial"/>
                <w:bCs/>
                <w:iCs/>
                <w:color w:val="000000" w:themeColor="text1"/>
              </w:rPr>
              <w:t>HEE SW TVW acknowledge that they have incomplete data in relation to ES and CS training</w:t>
            </w:r>
            <w:r w:rsidR="008013D0">
              <w:rPr>
                <w:rFonts w:ascii="Arial" w:eastAsia="Calibri" w:hAnsi="Arial" w:cs="Arial"/>
                <w:bCs/>
                <w:iCs/>
                <w:color w:val="000000" w:themeColor="text1"/>
              </w:rPr>
              <w:t>,</w:t>
            </w:r>
            <w:r>
              <w:rPr>
                <w:rFonts w:ascii="Arial" w:eastAsia="Calibri" w:hAnsi="Arial" w:cs="Arial"/>
                <w:bCs/>
                <w:iCs/>
                <w:color w:val="000000" w:themeColor="text1"/>
              </w:rPr>
              <w:t xml:space="preserve"> due to a change in their recording systems. HEE SW TVW are currently working to resolve this issue, however there is </w:t>
            </w:r>
            <w:r w:rsidR="004C1AC4">
              <w:rPr>
                <w:rFonts w:ascii="Arial" w:eastAsia="Calibri" w:hAnsi="Arial" w:cs="Arial"/>
                <w:bCs/>
                <w:iCs/>
                <w:color w:val="000000" w:themeColor="text1"/>
              </w:rPr>
              <w:t xml:space="preserve">a </w:t>
            </w:r>
            <w:r>
              <w:rPr>
                <w:rFonts w:ascii="Arial" w:eastAsia="Calibri" w:hAnsi="Arial" w:cs="Arial"/>
                <w:bCs/>
                <w:iCs/>
                <w:color w:val="000000" w:themeColor="text1"/>
              </w:rPr>
              <w:t xml:space="preserve">responsibility for </w:t>
            </w:r>
            <w:r w:rsidR="00D30227">
              <w:rPr>
                <w:rFonts w:ascii="Arial" w:eastAsia="Calibri" w:hAnsi="Arial" w:cs="Arial"/>
                <w:bCs/>
                <w:iCs/>
                <w:color w:val="000000" w:themeColor="text1"/>
              </w:rPr>
              <w:t>local offices</w:t>
            </w:r>
            <w:r>
              <w:rPr>
                <w:rFonts w:ascii="Arial" w:eastAsia="Calibri" w:hAnsi="Arial" w:cs="Arial"/>
                <w:bCs/>
                <w:iCs/>
                <w:color w:val="000000" w:themeColor="text1"/>
              </w:rPr>
              <w:t>, through contract, to ensure appropriate training and educational appraisal is undertaken</w:t>
            </w:r>
          </w:p>
          <w:p w14:paraId="35828D04" w14:textId="6C689CDB" w:rsidR="0043397F" w:rsidRDefault="0043397F" w:rsidP="00D6729D">
            <w:pPr>
              <w:contextualSpacing/>
              <w:rPr>
                <w:rFonts w:ascii="Arial" w:eastAsia="Calibri" w:hAnsi="Arial" w:cs="Arial"/>
                <w:bCs/>
                <w:iCs/>
                <w:color w:val="000000" w:themeColor="text1"/>
              </w:rPr>
            </w:pPr>
          </w:p>
          <w:p w14:paraId="73CA7C55" w14:textId="5E4666B9" w:rsidR="001E4ED7" w:rsidRDefault="00DB1061" w:rsidP="001E4ED7">
            <w:pPr>
              <w:contextualSpacing/>
              <w:rPr>
                <w:rFonts w:ascii="Arial" w:eastAsia="Calibri" w:hAnsi="Arial" w:cs="Arial"/>
                <w:bCs/>
                <w:iCs/>
                <w:color w:val="000000" w:themeColor="text1"/>
              </w:rPr>
            </w:pPr>
            <w:r>
              <w:rPr>
                <w:rFonts w:ascii="Arial" w:eastAsia="Calibri" w:hAnsi="Arial" w:cs="Arial"/>
                <w:bCs/>
                <w:iCs/>
                <w:color w:val="000000" w:themeColor="text1"/>
              </w:rPr>
              <w:t>We were not provided with</w:t>
            </w:r>
            <w:r w:rsidR="00791CA3">
              <w:rPr>
                <w:rFonts w:ascii="Arial" w:eastAsia="Calibri" w:hAnsi="Arial" w:cs="Arial"/>
                <w:bCs/>
                <w:iCs/>
                <w:color w:val="000000" w:themeColor="text1"/>
              </w:rPr>
              <w:t xml:space="preserve"> complete</w:t>
            </w:r>
            <w:r w:rsidR="0043397F" w:rsidRPr="0043397F">
              <w:rPr>
                <w:rFonts w:ascii="Arial" w:eastAsia="Calibri" w:hAnsi="Arial" w:cs="Arial"/>
                <w:bCs/>
                <w:iCs/>
                <w:color w:val="000000" w:themeColor="text1"/>
              </w:rPr>
              <w:t xml:space="preserve"> </w:t>
            </w:r>
            <w:r>
              <w:rPr>
                <w:rFonts w:ascii="Arial" w:eastAsia="Calibri" w:hAnsi="Arial" w:cs="Arial"/>
                <w:bCs/>
                <w:iCs/>
                <w:color w:val="000000" w:themeColor="text1"/>
              </w:rPr>
              <w:t>r</w:t>
            </w:r>
            <w:r w:rsidR="0043397F" w:rsidRPr="0043397F">
              <w:rPr>
                <w:rFonts w:ascii="Arial" w:eastAsia="Calibri" w:hAnsi="Arial" w:cs="Arial"/>
                <w:bCs/>
                <w:iCs/>
                <w:color w:val="000000" w:themeColor="text1"/>
              </w:rPr>
              <w:t>ecords of training modules undertaken, annual update</w:t>
            </w:r>
            <w:r>
              <w:rPr>
                <w:rFonts w:ascii="Arial" w:eastAsia="Calibri" w:hAnsi="Arial" w:cs="Arial"/>
                <w:bCs/>
                <w:iCs/>
                <w:color w:val="000000" w:themeColor="text1"/>
              </w:rPr>
              <w:t>s</w:t>
            </w:r>
            <w:r w:rsidR="0043397F" w:rsidRPr="0043397F">
              <w:rPr>
                <w:rFonts w:ascii="Arial" w:eastAsia="Calibri" w:hAnsi="Arial" w:cs="Arial"/>
                <w:bCs/>
                <w:iCs/>
                <w:color w:val="000000" w:themeColor="text1"/>
              </w:rPr>
              <w:t xml:space="preserve"> </w:t>
            </w:r>
            <w:r>
              <w:rPr>
                <w:rFonts w:ascii="Arial" w:eastAsia="Calibri" w:hAnsi="Arial" w:cs="Arial"/>
                <w:bCs/>
                <w:iCs/>
                <w:color w:val="000000" w:themeColor="text1"/>
              </w:rPr>
              <w:t>or</w:t>
            </w:r>
            <w:r w:rsidR="0043397F" w:rsidRPr="0043397F">
              <w:rPr>
                <w:rFonts w:ascii="Arial" w:eastAsia="Calibri" w:hAnsi="Arial" w:cs="Arial"/>
                <w:bCs/>
                <w:iCs/>
                <w:color w:val="000000" w:themeColor="text1"/>
              </w:rPr>
              <w:t xml:space="preserve"> Equality and Diversity training for </w:t>
            </w:r>
            <w:r w:rsidR="00940F80">
              <w:rPr>
                <w:rFonts w:ascii="Arial" w:eastAsia="Calibri" w:hAnsi="Arial" w:cs="Arial"/>
                <w:bCs/>
                <w:iCs/>
                <w:color w:val="000000" w:themeColor="text1"/>
              </w:rPr>
              <w:t>TPD</w:t>
            </w:r>
            <w:r w:rsidR="0043397F" w:rsidRPr="0043397F">
              <w:rPr>
                <w:rFonts w:ascii="Arial" w:eastAsia="Calibri" w:hAnsi="Arial" w:cs="Arial"/>
                <w:bCs/>
                <w:iCs/>
                <w:color w:val="000000" w:themeColor="text1"/>
              </w:rPr>
              <w:t xml:space="preserve">, </w:t>
            </w:r>
            <w:r w:rsidR="00940F80">
              <w:rPr>
                <w:rFonts w:ascii="Arial" w:eastAsia="Calibri" w:hAnsi="Arial" w:cs="Arial"/>
                <w:bCs/>
                <w:iCs/>
                <w:color w:val="000000" w:themeColor="text1"/>
              </w:rPr>
              <w:t>ES</w:t>
            </w:r>
            <w:r w:rsidR="0043397F" w:rsidRPr="0043397F">
              <w:rPr>
                <w:rFonts w:ascii="Arial" w:eastAsia="Calibri" w:hAnsi="Arial" w:cs="Arial"/>
                <w:bCs/>
                <w:iCs/>
                <w:color w:val="000000" w:themeColor="text1"/>
              </w:rPr>
              <w:t xml:space="preserve"> and </w:t>
            </w:r>
            <w:r w:rsidR="00940F80">
              <w:rPr>
                <w:rFonts w:ascii="Arial" w:eastAsia="Calibri" w:hAnsi="Arial" w:cs="Arial"/>
                <w:bCs/>
                <w:iCs/>
                <w:color w:val="000000" w:themeColor="text1"/>
              </w:rPr>
              <w:t>CS</w:t>
            </w:r>
            <w:r w:rsidR="0043397F" w:rsidRPr="0043397F">
              <w:rPr>
                <w:rFonts w:ascii="Arial" w:eastAsia="Calibri" w:hAnsi="Arial" w:cs="Arial"/>
                <w:bCs/>
                <w:iCs/>
                <w:color w:val="000000" w:themeColor="text1"/>
              </w:rPr>
              <w:t xml:space="preserve"> for both SW and TVW</w:t>
            </w:r>
            <w:r w:rsidR="001E4ED7">
              <w:rPr>
                <w:rFonts w:ascii="Arial" w:eastAsia="Calibri" w:hAnsi="Arial" w:cs="Arial"/>
                <w:bCs/>
                <w:iCs/>
                <w:color w:val="000000" w:themeColor="text1"/>
              </w:rPr>
              <w:t>,</w:t>
            </w:r>
            <w:r w:rsidR="00A92B7B">
              <w:rPr>
                <w:rFonts w:ascii="Arial" w:eastAsia="Calibri" w:hAnsi="Arial" w:cs="Arial"/>
                <w:bCs/>
                <w:iCs/>
                <w:color w:val="000000" w:themeColor="text1"/>
              </w:rPr>
              <w:t xml:space="preserve"> although w</w:t>
            </w:r>
            <w:r>
              <w:rPr>
                <w:rFonts w:ascii="Arial" w:eastAsia="Calibri" w:hAnsi="Arial" w:cs="Arial"/>
                <w:bCs/>
                <w:iCs/>
                <w:color w:val="000000" w:themeColor="text1"/>
              </w:rPr>
              <w:t xml:space="preserve">e did see evidence which sets out the 5 new modules to be completed by SW </w:t>
            </w:r>
            <w:r w:rsidR="00940F80">
              <w:rPr>
                <w:rFonts w:ascii="Arial" w:eastAsia="Calibri" w:hAnsi="Arial" w:cs="Arial"/>
                <w:bCs/>
                <w:iCs/>
                <w:color w:val="000000" w:themeColor="text1"/>
              </w:rPr>
              <w:t>ES</w:t>
            </w:r>
            <w:r>
              <w:rPr>
                <w:rFonts w:ascii="Arial" w:eastAsia="Calibri" w:hAnsi="Arial" w:cs="Arial"/>
                <w:bCs/>
                <w:iCs/>
                <w:color w:val="000000" w:themeColor="text1"/>
              </w:rPr>
              <w:t xml:space="preserve"> and </w:t>
            </w:r>
            <w:r w:rsidR="00940F80">
              <w:rPr>
                <w:rFonts w:ascii="Arial" w:eastAsia="Calibri" w:hAnsi="Arial" w:cs="Arial"/>
                <w:bCs/>
                <w:iCs/>
                <w:color w:val="000000" w:themeColor="text1"/>
              </w:rPr>
              <w:t>TPD</w:t>
            </w:r>
            <w:r>
              <w:rPr>
                <w:rFonts w:ascii="Arial" w:eastAsia="Calibri" w:hAnsi="Arial" w:cs="Arial"/>
                <w:bCs/>
                <w:iCs/>
                <w:color w:val="000000" w:themeColor="text1"/>
              </w:rPr>
              <w:t>.</w:t>
            </w:r>
            <w:r w:rsidR="001E4ED7" w:rsidRPr="0043397F">
              <w:rPr>
                <w:rFonts w:ascii="Arial" w:eastAsia="Calibri" w:hAnsi="Arial" w:cs="Arial"/>
                <w:bCs/>
                <w:iCs/>
                <w:color w:val="000000" w:themeColor="text1"/>
              </w:rPr>
              <w:t xml:space="preserve"> The evidence includes a monitoring log </w:t>
            </w:r>
            <w:r w:rsidR="001E4ED7">
              <w:rPr>
                <w:rFonts w:ascii="Arial" w:eastAsia="Calibri" w:hAnsi="Arial" w:cs="Arial"/>
                <w:bCs/>
                <w:iCs/>
                <w:color w:val="000000" w:themeColor="text1"/>
              </w:rPr>
              <w:t xml:space="preserve">for HEE SW for </w:t>
            </w:r>
            <w:r w:rsidR="001E4ED7" w:rsidRPr="0043397F">
              <w:rPr>
                <w:rFonts w:ascii="Arial" w:eastAsia="Calibri" w:hAnsi="Arial" w:cs="Arial"/>
                <w:bCs/>
                <w:iCs/>
                <w:color w:val="000000" w:themeColor="text1"/>
              </w:rPr>
              <w:t xml:space="preserve">TPD, ES and CS, </w:t>
            </w:r>
            <w:r w:rsidR="001E4ED7">
              <w:rPr>
                <w:rFonts w:ascii="Arial" w:eastAsia="Calibri" w:hAnsi="Arial" w:cs="Arial"/>
                <w:bCs/>
                <w:iCs/>
                <w:color w:val="000000" w:themeColor="text1"/>
              </w:rPr>
              <w:t xml:space="preserve">which </w:t>
            </w:r>
            <w:r w:rsidR="001E4ED7" w:rsidRPr="0043397F">
              <w:rPr>
                <w:rFonts w:ascii="Arial" w:eastAsia="Calibri" w:hAnsi="Arial" w:cs="Arial"/>
                <w:bCs/>
                <w:iCs/>
                <w:color w:val="000000" w:themeColor="text1"/>
              </w:rPr>
              <w:t xml:space="preserve">includes </w:t>
            </w:r>
            <w:r w:rsidR="001E4ED7">
              <w:rPr>
                <w:rFonts w:ascii="Arial" w:eastAsia="Calibri" w:hAnsi="Arial" w:cs="Arial"/>
                <w:bCs/>
                <w:iCs/>
                <w:color w:val="000000" w:themeColor="text1"/>
              </w:rPr>
              <w:t xml:space="preserve">data on </w:t>
            </w:r>
            <w:r w:rsidR="001E4ED7" w:rsidRPr="0043397F">
              <w:rPr>
                <w:rFonts w:ascii="Arial" w:eastAsia="Calibri" w:hAnsi="Arial" w:cs="Arial"/>
                <w:bCs/>
                <w:iCs/>
                <w:color w:val="000000" w:themeColor="text1"/>
              </w:rPr>
              <w:t>GDC specialist registration. Appointment letters are sent only after modules are completed and clearly outline the need to maintain and update training.</w:t>
            </w:r>
            <w:r w:rsidR="001E4ED7">
              <w:rPr>
                <w:rFonts w:ascii="Arial" w:eastAsia="Calibri" w:hAnsi="Arial" w:cs="Arial"/>
                <w:bCs/>
                <w:iCs/>
                <w:color w:val="000000" w:themeColor="text1"/>
              </w:rPr>
              <w:t xml:space="preserve"> </w:t>
            </w:r>
          </w:p>
          <w:p w14:paraId="5C9944CD" w14:textId="77777777" w:rsidR="00C70773" w:rsidRDefault="00C70773" w:rsidP="001E4ED7">
            <w:pPr>
              <w:contextualSpacing/>
              <w:rPr>
                <w:rFonts w:ascii="Arial" w:eastAsia="Calibri" w:hAnsi="Arial" w:cs="Arial"/>
                <w:bCs/>
                <w:iCs/>
                <w:color w:val="000000" w:themeColor="text1"/>
              </w:rPr>
            </w:pPr>
          </w:p>
          <w:p w14:paraId="2DB841D7" w14:textId="7B35C6CC" w:rsidR="00DB1061" w:rsidRDefault="004C1AC4" w:rsidP="0043397F">
            <w:pPr>
              <w:contextualSpacing/>
              <w:rPr>
                <w:rFonts w:ascii="Arial" w:eastAsia="Calibri" w:hAnsi="Arial" w:cs="Arial"/>
                <w:bCs/>
                <w:iCs/>
                <w:color w:val="000000" w:themeColor="text1"/>
              </w:rPr>
            </w:pPr>
            <w:r>
              <w:rPr>
                <w:rFonts w:ascii="Arial" w:eastAsia="Calibri" w:hAnsi="Arial" w:cs="Arial"/>
                <w:bCs/>
                <w:iCs/>
                <w:color w:val="000000" w:themeColor="text1"/>
              </w:rPr>
              <w:t>We were informed that the modules available for ES and CS</w:t>
            </w:r>
            <w:r w:rsidR="008013D0">
              <w:rPr>
                <w:rFonts w:ascii="Arial" w:eastAsia="Calibri" w:hAnsi="Arial" w:cs="Arial"/>
                <w:bCs/>
                <w:iCs/>
                <w:color w:val="000000" w:themeColor="text1"/>
              </w:rPr>
              <w:t>,</w:t>
            </w:r>
            <w:r>
              <w:rPr>
                <w:rFonts w:ascii="Arial" w:eastAsia="Calibri" w:hAnsi="Arial" w:cs="Arial"/>
                <w:bCs/>
                <w:iCs/>
                <w:color w:val="000000" w:themeColor="text1"/>
              </w:rPr>
              <w:t xml:space="preserve"> are provided by the </w:t>
            </w:r>
            <w:r w:rsidR="00D30227">
              <w:rPr>
                <w:rFonts w:ascii="Arial" w:eastAsia="Calibri" w:hAnsi="Arial" w:cs="Arial"/>
                <w:bCs/>
                <w:iCs/>
                <w:color w:val="000000" w:themeColor="text1"/>
              </w:rPr>
              <w:t xml:space="preserve">local office </w:t>
            </w:r>
            <w:r>
              <w:rPr>
                <w:rFonts w:ascii="Arial" w:eastAsia="Calibri" w:hAnsi="Arial" w:cs="Arial"/>
                <w:bCs/>
                <w:iCs/>
                <w:color w:val="000000" w:themeColor="text1"/>
              </w:rPr>
              <w:t>face to face, although they can</w:t>
            </w:r>
            <w:r w:rsidR="001E4ED7">
              <w:rPr>
                <w:rFonts w:ascii="Arial" w:eastAsia="Calibri" w:hAnsi="Arial" w:cs="Arial"/>
                <w:bCs/>
                <w:iCs/>
                <w:color w:val="000000" w:themeColor="text1"/>
              </w:rPr>
              <w:t xml:space="preserve"> also</w:t>
            </w:r>
            <w:r>
              <w:rPr>
                <w:rFonts w:ascii="Arial" w:eastAsia="Calibri" w:hAnsi="Arial" w:cs="Arial"/>
                <w:bCs/>
                <w:iCs/>
                <w:color w:val="000000" w:themeColor="text1"/>
              </w:rPr>
              <w:t xml:space="preserve"> be accessed through e-learning. </w:t>
            </w:r>
            <w:r w:rsidR="00EF5847">
              <w:rPr>
                <w:rFonts w:ascii="Arial" w:eastAsia="Calibri" w:hAnsi="Arial" w:cs="Arial"/>
                <w:bCs/>
                <w:iCs/>
                <w:color w:val="000000" w:themeColor="text1"/>
              </w:rPr>
              <w:t>HEE SW TVW are in the process of obtaining more up to date information regarding the educational CPD that is undertaken by existing ES.</w:t>
            </w:r>
          </w:p>
          <w:p w14:paraId="60CE7B40" w14:textId="49B6B0F9" w:rsidR="003C1BC3" w:rsidRPr="003C1BC3" w:rsidRDefault="0043397F" w:rsidP="0043397F">
            <w:pPr>
              <w:contextualSpacing/>
              <w:rPr>
                <w:rFonts w:ascii="Arial" w:eastAsia="Calibri" w:hAnsi="Arial" w:cs="Arial"/>
                <w:bCs/>
                <w:iCs/>
                <w:color w:val="000000" w:themeColor="text1"/>
              </w:rPr>
            </w:pPr>
            <w:r w:rsidRPr="0043397F">
              <w:rPr>
                <w:rFonts w:ascii="Arial" w:eastAsia="Calibri" w:hAnsi="Arial" w:cs="Arial"/>
                <w:bCs/>
                <w:iCs/>
                <w:color w:val="000000" w:themeColor="text1"/>
              </w:rPr>
              <w:t xml:space="preserve">                                                                                                                                                                                </w:t>
            </w:r>
            <w:r w:rsidR="0067073E">
              <w:rPr>
                <w:rFonts w:ascii="Arial" w:eastAsia="Calibri" w:hAnsi="Arial" w:cs="Arial"/>
                <w:bCs/>
                <w:iCs/>
                <w:color w:val="000000" w:themeColor="text1"/>
              </w:rPr>
              <w:t xml:space="preserve"> </w:t>
            </w:r>
            <w:r w:rsidR="003C1BC3" w:rsidRPr="003C1BC3">
              <w:rPr>
                <w:rFonts w:ascii="Arial" w:eastAsia="Times New Roman" w:hAnsi="Arial" w:cs="Arial"/>
                <w:color w:val="000000"/>
              </w:rPr>
              <w:t xml:space="preserve">The information shared indicated that certain </w:t>
            </w:r>
            <w:r w:rsidR="003C1BC3">
              <w:rPr>
                <w:rFonts w:ascii="Arial" w:eastAsia="Times New Roman" w:hAnsi="Arial" w:cs="Arial"/>
                <w:color w:val="000000"/>
              </w:rPr>
              <w:t>TPD</w:t>
            </w:r>
            <w:r w:rsidR="003C1BC3" w:rsidRPr="003C1BC3">
              <w:rPr>
                <w:rFonts w:ascii="Arial" w:eastAsia="Times New Roman" w:hAnsi="Arial" w:cs="Arial"/>
                <w:color w:val="000000"/>
              </w:rPr>
              <w:t xml:space="preserve">, </w:t>
            </w:r>
            <w:r w:rsidR="003C1BC3">
              <w:rPr>
                <w:rFonts w:ascii="Arial" w:eastAsia="Times New Roman" w:hAnsi="Arial" w:cs="Arial"/>
                <w:color w:val="000000"/>
              </w:rPr>
              <w:t>E</w:t>
            </w:r>
            <w:r w:rsidR="008013D0">
              <w:rPr>
                <w:rFonts w:ascii="Arial" w:eastAsia="Times New Roman" w:hAnsi="Arial" w:cs="Arial"/>
                <w:color w:val="000000"/>
              </w:rPr>
              <w:t>S</w:t>
            </w:r>
            <w:r w:rsidR="003C1BC3">
              <w:rPr>
                <w:rFonts w:ascii="Arial" w:eastAsia="Times New Roman" w:hAnsi="Arial" w:cs="Arial"/>
                <w:color w:val="000000"/>
              </w:rPr>
              <w:t xml:space="preserve"> and CS</w:t>
            </w:r>
            <w:r w:rsidR="003C1BC3" w:rsidRPr="003C1BC3">
              <w:rPr>
                <w:rFonts w:ascii="Arial" w:eastAsia="Times New Roman" w:hAnsi="Arial" w:cs="Arial"/>
                <w:color w:val="000000"/>
              </w:rPr>
              <w:t xml:space="preserve"> had not refreshed their training for a significant period of time. It was not clear how any issues relating to training, not completed for a period of time, is dealt with, specifically in relation to the process for highlighting and addressing this. </w:t>
            </w:r>
          </w:p>
          <w:p w14:paraId="347AE1FB" w14:textId="693C19DF" w:rsidR="00940F80" w:rsidRDefault="00940F80" w:rsidP="0043397F">
            <w:pPr>
              <w:contextualSpacing/>
              <w:rPr>
                <w:rFonts w:ascii="Arial" w:eastAsia="Calibri" w:hAnsi="Arial" w:cs="Arial"/>
                <w:bCs/>
                <w:iCs/>
                <w:color w:val="000000" w:themeColor="text1"/>
              </w:rPr>
            </w:pPr>
          </w:p>
          <w:p w14:paraId="41B968FD" w14:textId="22A998F4" w:rsidR="00940F80" w:rsidRDefault="00940F80" w:rsidP="0043397F">
            <w:pPr>
              <w:contextualSpacing/>
              <w:rPr>
                <w:rFonts w:ascii="Arial" w:eastAsia="Calibri" w:hAnsi="Arial" w:cs="Arial"/>
                <w:bCs/>
                <w:iCs/>
                <w:color w:val="000000" w:themeColor="text1"/>
              </w:rPr>
            </w:pPr>
            <w:r>
              <w:rPr>
                <w:rFonts w:ascii="Arial" w:eastAsia="Calibri" w:hAnsi="Arial" w:cs="Arial"/>
                <w:bCs/>
                <w:iCs/>
                <w:color w:val="000000" w:themeColor="text1"/>
              </w:rPr>
              <w:t>We</w:t>
            </w:r>
            <w:r w:rsidR="00775CEC">
              <w:rPr>
                <w:rFonts w:ascii="Arial" w:eastAsia="Calibri" w:hAnsi="Arial" w:cs="Arial"/>
                <w:bCs/>
                <w:iCs/>
                <w:color w:val="000000" w:themeColor="text1"/>
              </w:rPr>
              <w:t xml:space="preserve"> </w:t>
            </w:r>
            <w:r>
              <w:rPr>
                <w:rFonts w:ascii="Arial" w:eastAsia="Calibri" w:hAnsi="Arial" w:cs="Arial"/>
                <w:bCs/>
                <w:iCs/>
                <w:color w:val="000000" w:themeColor="text1"/>
              </w:rPr>
              <w:t xml:space="preserve">consider this Requirement to be </w:t>
            </w:r>
            <w:r w:rsidRPr="00D8280A">
              <w:rPr>
                <w:rFonts w:ascii="Arial" w:eastAsia="Calibri" w:hAnsi="Arial" w:cs="Arial"/>
                <w:b/>
                <w:iCs/>
                <w:color w:val="000000" w:themeColor="text1"/>
              </w:rPr>
              <w:t>partly met</w:t>
            </w:r>
            <w:r>
              <w:rPr>
                <w:rFonts w:ascii="Arial" w:eastAsia="Calibri" w:hAnsi="Arial" w:cs="Arial"/>
                <w:bCs/>
                <w:iCs/>
                <w:color w:val="000000" w:themeColor="text1"/>
              </w:rPr>
              <w:t>.</w:t>
            </w:r>
          </w:p>
          <w:p w14:paraId="6E006B2E" w14:textId="77777777" w:rsidR="00940F80" w:rsidRPr="00991C01" w:rsidRDefault="00940F80" w:rsidP="0043397F">
            <w:pPr>
              <w:contextualSpacing/>
              <w:rPr>
                <w:rFonts w:ascii="Arial" w:eastAsia="Calibri" w:hAnsi="Arial" w:cs="Arial"/>
                <w:bCs/>
                <w:iCs/>
                <w:color w:val="000000" w:themeColor="text1"/>
              </w:rPr>
            </w:pPr>
          </w:p>
          <w:p w14:paraId="6EA21DA9" w14:textId="401C09C9" w:rsidR="009755BA" w:rsidRDefault="005D5820" w:rsidP="00D6729D">
            <w:pPr>
              <w:contextualSpacing/>
              <w:rPr>
                <w:rFonts w:ascii="Arial" w:eastAsia="Calibri" w:hAnsi="Arial" w:cs="Arial"/>
                <w:b/>
                <w:iCs/>
                <w:color w:val="000000" w:themeColor="text1"/>
              </w:rPr>
            </w:pPr>
            <w:r>
              <w:rPr>
                <w:rFonts w:ascii="Arial" w:eastAsia="Calibri" w:hAnsi="Arial" w:cs="Arial"/>
                <w:b/>
                <w:color w:val="000000" w:themeColor="text1"/>
              </w:rPr>
              <w:t>P</w:t>
            </w:r>
            <w:r w:rsidR="00E2148E">
              <w:rPr>
                <w:rFonts w:ascii="Arial" w:eastAsia="Calibri" w:hAnsi="Arial" w:cs="Arial"/>
                <w:b/>
                <w:color w:val="000000" w:themeColor="text1"/>
              </w:rPr>
              <w:t xml:space="preserve">6: </w:t>
            </w:r>
            <w:r w:rsidR="009755BA" w:rsidRPr="009755BA">
              <w:rPr>
                <w:rFonts w:ascii="Arial" w:eastAsia="Calibri" w:hAnsi="Arial" w:cs="Arial"/>
                <w:b/>
                <w:iCs/>
                <w:noProof/>
                <w:color w:val="000000" w:themeColor="text1"/>
                <w:lang w:eastAsia="en-GB"/>
              </w:rPr>
              <w:t>Programme</w:t>
            </w:r>
            <w:r w:rsidR="009755BA" w:rsidRPr="009755BA">
              <w:rPr>
                <w:rFonts w:ascii="Arial" w:eastAsia="Calibri" w:hAnsi="Arial" w:cs="Arial"/>
                <w:b/>
                <w:iCs/>
                <w:color w:val="000000" w:themeColor="text1"/>
              </w:rPr>
              <w:t xml:space="preserve"> providers must ensure that specialty trainees and all those involved in the delivery of education and training are aware of their duty to be candid in line with the guidance issued by the professional regulator. Specialty trainees must be made aware of their obligation to raise concerns if they identify any risks to patient safety. Programme providers should publish policies so that it is clear to all parties how they can raise concerns and how these concerns will be acted upon. Programme providers must support those who do raise concerns and provide assurance that staff and specialty trainees will not be penalised for doing so</w:t>
            </w:r>
            <w:r w:rsidR="009755BA">
              <w:rPr>
                <w:rFonts w:ascii="Arial" w:eastAsia="Calibri" w:hAnsi="Arial" w:cs="Arial"/>
                <w:b/>
                <w:iCs/>
                <w:color w:val="000000" w:themeColor="text1"/>
              </w:rPr>
              <w:t xml:space="preserve">. </w:t>
            </w:r>
            <w:r w:rsidR="00611DFC">
              <w:rPr>
                <w:rFonts w:ascii="Arial" w:eastAsia="Calibri" w:hAnsi="Arial" w:cs="Arial"/>
                <w:b/>
                <w:iCs/>
                <w:color w:val="000000" w:themeColor="text1"/>
              </w:rPr>
              <w:t>(</w:t>
            </w:r>
            <w:r w:rsidR="009755BA">
              <w:rPr>
                <w:rFonts w:ascii="Arial" w:eastAsia="Calibri" w:hAnsi="Arial" w:cs="Arial"/>
                <w:b/>
                <w:iCs/>
                <w:color w:val="000000" w:themeColor="text1"/>
              </w:rPr>
              <w:t xml:space="preserve">Requirement </w:t>
            </w:r>
            <w:r w:rsidR="00A22C30" w:rsidRPr="0004225B">
              <w:rPr>
                <w:rFonts w:ascii="Arial" w:eastAsia="Calibri" w:hAnsi="Arial" w:cs="Arial"/>
                <w:b/>
                <w:iCs/>
                <w:color w:val="000000" w:themeColor="text1"/>
              </w:rPr>
              <w:t>Met</w:t>
            </w:r>
            <w:r w:rsidR="0004225B">
              <w:rPr>
                <w:rFonts w:ascii="Arial" w:eastAsia="Calibri" w:hAnsi="Arial" w:cs="Arial"/>
                <w:b/>
                <w:iCs/>
                <w:color w:val="000000" w:themeColor="text1"/>
              </w:rPr>
              <w:t>).</w:t>
            </w:r>
          </w:p>
          <w:p w14:paraId="0EB04C8C" w14:textId="1C755940" w:rsidR="00991C01" w:rsidRDefault="00991C01" w:rsidP="00D6729D">
            <w:pPr>
              <w:contextualSpacing/>
              <w:rPr>
                <w:rFonts w:ascii="Arial" w:eastAsia="Calibri" w:hAnsi="Arial" w:cs="Arial"/>
                <w:b/>
                <w:iCs/>
                <w:color w:val="000000" w:themeColor="text1"/>
              </w:rPr>
            </w:pPr>
          </w:p>
          <w:p w14:paraId="0153EFAE" w14:textId="61E2668D" w:rsidR="00991C01" w:rsidRDefault="00991C01" w:rsidP="00D6729D">
            <w:pPr>
              <w:contextualSpacing/>
              <w:rPr>
                <w:rFonts w:ascii="Arial" w:eastAsia="Calibri" w:hAnsi="Arial" w:cs="Arial"/>
                <w:bCs/>
                <w:iCs/>
                <w:color w:val="000000" w:themeColor="text1"/>
              </w:rPr>
            </w:pPr>
            <w:r>
              <w:rPr>
                <w:rFonts w:ascii="Arial" w:eastAsia="Calibri" w:hAnsi="Arial" w:cs="Arial"/>
                <w:bCs/>
                <w:iCs/>
                <w:color w:val="000000" w:themeColor="text1"/>
              </w:rPr>
              <w:lastRenderedPageBreak/>
              <w:t>We were provided with evidence that</w:t>
            </w:r>
            <w:r w:rsidRPr="00991C01">
              <w:rPr>
                <w:rFonts w:ascii="Arial" w:eastAsia="Calibri" w:hAnsi="Arial" w:cs="Arial"/>
                <w:bCs/>
                <w:iCs/>
                <w:color w:val="000000" w:themeColor="text1"/>
              </w:rPr>
              <w:t xml:space="preserve"> confirms duty of candour</w:t>
            </w:r>
            <w:r>
              <w:rPr>
                <w:rFonts w:ascii="Arial" w:eastAsia="Calibri" w:hAnsi="Arial" w:cs="Arial"/>
                <w:bCs/>
                <w:iCs/>
                <w:color w:val="000000" w:themeColor="text1"/>
              </w:rPr>
              <w:t xml:space="preserve"> is</w:t>
            </w:r>
            <w:r w:rsidRPr="00991C01">
              <w:rPr>
                <w:rFonts w:ascii="Arial" w:eastAsia="Calibri" w:hAnsi="Arial" w:cs="Arial"/>
                <w:bCs/>
                <w:iCs/>
                <w:color w:val="000000" w:themeColor="text1"/>
              </w:rPr>
              <w:t xml:space="preserve"> included in both </w:t>
            </w:r>
            <w:r w:rsidR="00D30227">
              <w:rPr>
                <w:rFonts w:ascii="Arial" w:eastAsia="Calibri" w:hAnsi="Arial" w:cs="Arial"/>
                <w:bCs/>
                <w:iCs/>
                <w:color w:val="000000" w:themeColor="text1"/>
              </w:rPr>
              <w:t>the local office</w:t>
            </w:r>
            <w:r w:rsidRPr="00991C01">
              <w:rPr>
                <w:rFonts w:ascii="Arial" w:eastAsia="Calibri" w:hAnsi="Arial" w:cs="Arial"/>
                <w:bCs/>
                <w:iCs/>
                <w:color w:val="000000" w:themeColor="text1"/>
              </w:rPr>
              <w:t xml:space="preserve"> and HEE Speciality Trainee induction. </w:t>
            </w:r>
            <w:r w:rsidR="00865D76">
              <w:rPr>
                <w:rFonts w:ascii="Arial" w:eastAsia="Calibri" w:hAnsi="Arial" w:cs="Arial"/>
                <w:bCs/>
                <w:iCs/>
                <w:color w:val="000000" w:themeColor="text1"/>
              </w:rPr>
              <w:t xml:space="preserve">The </w:t>
            </w:r>
            <w:r w:rsidRPr="00991C01">
              <w:rPr>
                <w:rFonts w:ascii="Arial" w:eastAsia="Calibri" w:hAnsi="Arial" w:cs="Arial"/>
                <w:bCs/>
                <w:iCs/>
                <w:color w:val="000000" w:themeColor="text1"/>
              </w:rPr>
              <w:t xml:space="preserve">LDA requires </w:t>
            </w:r>
            <w:r w:rsidR="00D30227">
              <w:rPr>
                <w:rFonts w:ascii="Arial" w:eastAsia="Calibri" w:hAnsi="Arial" w:cs="Arial"/>
                <w:bCs/>
                <w:iCs/>
                <w:color w:val="000000" w:themeColor="text1"/>
              </w:rPr>
              <w:t>local offices</w:t>
            </w:r>
            <w:r w:rsidRPr="00991C01">
              <w:rPr>
                <w:rFonts w:ascii="Arial" w:eastAsia="Calibri" w:hAnsi="Arial" w:cs="Arial"/>
                <w:bCs/>
                <w:iCs/>
                <w:color w:val="000000" w:themeColor="text1"/>
              </w:rPr>
              <w:t xml:space="preserve"> to have systems in place to encourage raising concerns and </w:t>
            </w:r>
            <w:r w:rsidR="00C716F0">
              <w:rPr>
                <w:rFonts w:ascii="Arial" w:eastAsia="Calibri" w:hAnsi="Arial" w:cs="Arial"/>
                <w:bCs/>
                <w:iCs/>
                <w:color w:val="000000" w:themeColor="text1"/>
              </w:rPr>
              <w:t>we were provided with evidence of two</w:t>
            </w:r>
            <w:r w:rsidRPr="00991C01">
              <w:rPr>
                <w:rFonts w:ascii="Arial" w:eastAsia="Calibri" w:hAnsi="Arial" w:cs="Arial"/>
                <w:bCs/>
                <w:iCs/>
                <w:color w:val="000000" w:themeColor="text1"/>
              </w:rPr>
              <w:t xml:space="preserve"> Freedom to Speak policies.</w:t>
            </w:r>
          </w:p>
          <w:p w14:paraId="5FC6CBA4" w14:textId="687F40CC" w:rsidR="007B26F1" w:rsidRDefault="007B26F1" w:rsidP="00D6729D">
            <w:pPr>
              <w:contextualSpacing/>
              <w:rPr>
                <w:rFonts w:ascii="Arial" w:eastAsia="Calibri" w:hAnsi="Arial" w:cs="Arial"/>
                <w:bCs/>
                <w:iCs/>
                <w:color w:val="000000" w:themeColor="text1"/>
              </w:rPr>
            </w:pPr>
          </w:p>
          <w:p w14:paraId="74E5B35D" w14:textId="2F86E605" w:rsidR="007B26F1" w:rsidRDefault="007B26F1" w:rsidP="00D6729D">
            <w:pPr>
              <w:contextualSpacing/>
              <w:rPr>
                <w:rFonts w:ascii="Arial" w:eastAsia="Calibri" w:hAnsi="Arial" w:cs="Arial"/>
                <w:bCs/>
                <w:iCs/>
                <w:color w:val="000000" w:themeColor="text1"/>
              </w:rPr>
            </w:pPr>
            <w:r w:rsidRPr="00991C01">
              <w:rPr>
                <w:rFonts w:ascii="Arial" w:eastAsia="Calibri" w:hAnsi="Arial" w:cs="Arial"/>
                <w:bCs/>
                <w:iCs/>
                <w:color w:val="000000" w:themeColor="text1"/>
              </w:rPr>
              <w:t xml:space="preserve">Dental trainee concerns would be considered at </w:t>
            </w:r>
            <w:r>
              <w:rPr>
                <w:rFonts w:ascii="Arial" w:eastAsia="Calibri" w:hAnsi="Arial" w:cs="Arial"/>
                <w:bCs/>
                <w:iCs/>
                <w:color w:val="000000" w:themeColor="text1"/>
              </w:rPr>
              <w:t xml:space="preserve">the </w:t>
            </w:r>
            <w:r w:rsidRPr="00991C01">
              <w:rPr>
                <w:rFonts w:ascii="Arial" w:eastAsia="Calibri" w:hAnsi="Arial" w:cs="Arial"/>
                <w:bCs/>
                <w:iCs/>
                <w:color w:val="000000" w:themeColor="text1"/>
              </w:rPr>
              <w:t xml:space="preserve">Quality Scrutiny Oversight Group for the </w:t>
            </w:r>
            <w:r w:rsidR="000C12F9" w:rsidRPr="00991C01">
              <w:rPr>
                <w:rFonts w:ascii="Arial" w:eastAsia="Calibri" w:hAnsi="Arial" w:cs="Arial"/>
                <w:bCs/>
                <w:iCs/>
                <w:color w:val="000000" w:themeColor="text1"/>
              </w:rPr>
              <w:t>Southwest</w:t>
            </w:r>
            <w:r w:rsidR="00E85CA9">
              <w:rPr>
                <w:rFonts w:ascii="Arial" w:eastAsia="Calibri" w:hAnsi="Arial" w:cs="Arial"/>
                <w:bCs/>
                <w:iCs/>
                <w:color w:val="000000" w:themeColor="text1"/>
              </w:rPr>
              <w:t>. W</w:t>
            </w:r>
            <w:r w:rsidRPr="00991C01">
              <w:rPr>
                <w:rFonts w:ascii="Arial" w:eastAsia="Calibri" w:hAnsi="Arial" w:cs="Arial"/>
                <w:bCs/>
                <w:iCs/>
                <w:color w:val="000000" w:themeColor="text1"/>
              </w:rPr>
              <w:t>hile none have been reported</w:t>
            </w:r>
            <w:r w:rsidR="00C716F0">
              <w:rPr>
                <w:rFonts w:ascii="Arial" w:eastAsia="Calibri" w:hAnsi="Arial" w:cs="Arial"/>
                <w:bCs/>
                <w:iCs/>
                <w:color w:val="000000" w:themeColor="text1"/>
              </w:rPr>
              <w:t>,</w:t>
            </w:r>
            <w:r w:rsidRPr="00991C01">
              <w:rPr>
                <w:rFonts w:ascii="Arial" w:eastAsia="Calibri" w:hAnsi="Arial" w:cs="Arial"/>
                <w:bCs/>
                <w:iCs/>
                <w:color w:val="000000" w:themeColor="text1"/>
              </w:rPr>
              <w:t xml:space="preserve"> </w:t>
            </w:r>
            <w:r w:rsidR="006D3C06">
              <w:rPr>
                <w:rFonts w:ascii="Arial" w:eastAsia="Calibri" w:hAnsi="Arial" w:cs="Arial"/>
                <w:bCs/>
                <w:iCs/>
                <w:color w:val="000000" w:themeColor="text1"/>
              </w:rPr>
              <w:t>“D</w:t>
            </w:r>
            <w:r w:rsidRPr="00991C01">
              <w:rPr>
                <w:rFonts w:ascii="Arial" w:eastAsia="Calibri" w:hAnsi="Arial" w:cs="Arial"/>
                <w:bCs/>
                <w:iCs/>
                <w:color w:val="000000" w:themeColor="text1"/>
              </w:rPr>
              <w:t>ental</w:t>
            </w:r>
            <w:r w:rsidR="006D3C06">
              <w:rPr>
                <w:rFonts w:ascii="Arial" w:eastAsia="Calibri" w:hAnsi="Arial" w:cs="Arial"/>
                <w:bCs/>
                <w:iCs/>
                <w:color w:val="000000" w:themeColor="text1"/>
              </w:rPr>
              <w:t>”</w:t>
            </w:r>
            <w:r w:rsidRPr="00991C01">
              <w:rPr>
                <w:rFonts w:ascii="Arial" w:eastAsia="Calibri" w:hAnsi="Arial" w:cs="Arial"/>
                <w:bCs/>
                <w:iCs/>
                <w:color w:val="000000" w:themeColor="text1"/>
              </w:rPr>
              <w:t xml:space="preserve"> appears on all agendas. HEE-SW Senior </w:t>
            </w:r>
            <w:r w:rsidR="00AF1041">
              <w:rPr>
                <w:rFonts w:ascii="Arial" w:eastAsia="Calibri" w:hAnsi="Arial" w:cs="Arial"/>
                <w:bCs/>
                <w:iCs/>
                <w:color w:val="000000" w:themeColor="text1"/>
              </w:rPr>
              <w:t>PGDD</w:t>
            </w:r>
            <w:r w:rsidRPr="00991C01">
              <w:rPr>
                <w:rFonts w:ascii="Arial" w:eastAsia="Calibri" w:hAnsi="Arial" w:cs="Arial"/>
                <w:bCs/>
                <w:iCs/>
                <w:color w:val="000000" w:themeColor="text1"/>
              </w:rPr>
              <w:t xml:space="preserve"> meetings risk register</w:t>
            </w:r>
            <w:r w:rsidR="00AF1041">
              <w:rPr>
                <w:rFonts w:ascii="Arial" w:eastAsia="Calibri" w:hAnsi="Arial" w:cs="Arial"/>
                <w:bCs/>
                <w:iCs/>
                <w:color w:val="000000" w:themeColor="text1"/>
              </w:rPr>
              <w:t>,</w:t>
            </w:r>
            <w:r w:rsidRPr="00991C01">
              <w:rPr>
                <w:rFonts w:ascii="Arial" w:eastAsia="Calibri" w:hAnsi="Arial" w:cs="Arial"/>
                <w:bCs/>
                <w:iCs/>
                <w:color w:val="000000" w:themeColor="text1"/>
              </w:rPr>
              <w:t xml:space="preserve"> includes dental training issues with</w:t>
            </w:r>
            <w:r w:rsidR="00AF1041">
              <w:rPr>
                <w:rFonts w:ascii="Arial" w:eastAsia="Calibri" w:hAnsi="Arial" w:cs="Arial"/>
                <w:bCs/>
                <w:iCs/>
                <w:color w:val="000000" w:themeColor="text1"/>
              </w:rPr>
              <w:t xml:space="preserve"> an</w:t>
            </w:r>
            <w:r w:rsidRPr="00991C01">
              <w:rPr>
                <w:rFonts w:ascii="Arial" w:eastAsia="Calibri" w:hAnsi="Arial" w:cs="Arial"/>
                <w:bCs/>
                <w:iCs/>
                <w:color w:val="000000" w:themeColor="text1"/>
              </w:rPr>
              <w:t xml:space="preserve"> identified action plan.</w:t>
            </w:r>
          </w:p>
          <w:p w14:paraId="0D8A8026" w14:textId="77777777" w:rsidR="00991C01" w:rsidRDefault="00991C01" w:rsidP="00D6729D">
            <w:pPr>
              <w:contextualSpacing/>
              <w:rPr>
                <w:rFonts w:ascii="Arial" w:eastAsia="Calibri" w:hAnsi="Arial" w:cs="Arial"/>
                <w:bCs/>
                <w:iCs/>
                <w:color w:val="000000" w:themeColor="text1"/>
              </w:rPr>
            </w:pPr>
          </w:p>
          <w:p w14:paraId="5CED9D2D" w14:textId="5FE266A8" w:rsidR="00991C01" w:rsidRDefault="007B26F1" w:rsidP="00D6729D">
            <w:pPr>
              <w:contextualSpacing/>
              <w:rPr>
                <w:rFonts w:ascii="Arial" w:eastAsia="Calibri" w:hAnsi="Arial" w:cs="Arial"/>
                <w:bCs/>
                <w:iCs/>
                <w:color w:val="000000" w:themeColor="text1"/>
              </w:rPr>
            </w:pPr>
            <w:r>
              <w:rPr>
                <w:rFonts w:ascii="Arial" w:eastAsia="Calibri" w:hAnsi="Arial" w:cs="Arial"/>
                <w:bCs/>
                <w:iCs/>
                <w:color w:val="000000" w:themeColor="text1"/>
              </w:rPr>
              <w:t xml:space="preserve">Both the </w:t>
            </w:r>
            <w:r w:rsidR="00D30227">
              <w:rPr>
                <w:rFonts w:ascii="Arial" w:eastAsia="Calibri" w:hAnsi="Arial" w:cs="Arial"/>
                <w:bCs/>
                <w:iCs/>
                <w:color w:val="000000" w:themeColor="text1"/>
              </w:rPr>
              <w:t>local offices’</w:t>
            </w:r>
            <w:r>
              <w:rPr>
                <w:rFonts w:ascii="Arial" w:eastAsia="Calibri" w:hAnsi="Arial" w:cs="Arial"/>
                <w:bCs/>
                <w:iCs/>
                <w:color w:val="000000" w:themeColor="text1"/>
              </w:rPr>
              <w:t xml:space="preserve"> </w:t>
            </w:r>
            <w:r w:rsidR="00991C01" w:rsidRPr="00991C01">
              <w:rPr>
                <w:rFonts w:ascii="Arial" w:eastAsia="Calibri" w:hAnsi="Arial" w:cs="Arial"/>
                <w:bCs/>
                <w:iCs/>
                <w:color w:val="000000" w:themeColor="text1"/>
              </w:rPr>
              <w:t xml:space="preserve">and </w:t>
            </w:r>
            <w:r w:rsidRPr="00991C01">
              <w:rPr>
                <w:rFonts w:ascii="Arial" w:eastAsia="Calibri" w:hAnsi="Arial" w:cs="Arial"/>
                <w:bCs/>
                <w:iCs/>
                <w:color w:val="000000" w:themeColor="text1"/>
              </w:rPr>
              <w:t>trainee</w:t>
            </w:r>
            <w:r>
              <w:rPr>
                <w:rFonts w:ascii="Arial" w:eastAsia="Calibri" w:hAnsi="Arial" w:cs="Arial"/>
                <w:bCs/>
                <w:iCs/>
                <w:color w:val="000000" w:themeColor="text1"/>
              </w:rPr>
              <w:t>s’</w:t>
            </w:r>
            <w:r w:rsidR="00991C01" w:rsidRPr="00991C01">
              <w:rPr>
                <w:rFonts w:ascii="Arial" w:eastAsia="Calibri" w:hAnsi="Arial" w:cs="Arial"/>
                <w:bCs/>
                <w:iCs/>
                <w:color w:val="000000" w:themeColor="text1"/>
              </w:rPr>
              <w:t xml:space="preserve"> knowledge of raising concerns is triangulated via Quality visits and in the provided reports. </w:t>
            </w:r>
          </w:p>
          <w:p w14:paraId="5FB1C996" w14:textId="428F6D1D" w:rsidR="007B26F1" w:rsidRDefault="007B26F1" w:rsidP="00D6729D">
            <w:pPr>
              <w:contextualSpacing/>
              <w:rPr>
                <w:rFonts w:ascii="Arial" w:eastAsia="Calibri" w:hAnsi="Arial" w:cs="Arial"/>
                <w:bCs/>
                <w:iCs/>
                <w:color w:val="000000" w:themeColor="text1"/>
              </w:rPr>
            </w:pPr>
          </w:p>
          <w:p w14:paraId="6203F563" w14:textId="33BBA340" w:rsidR="007B26F1" w:rsidRDefault="00991C01" w:rsidP="00991C01">
            <w:pPr>
              <w:contextualSpacing/>
              <w:rPr>
                <w:rFonts w:ascii="Arial" w:eastAsia="Calibri" w:hAnsi="Arial" w:cs="Arial"/>
                <w:bCs/>
                <w:iCs/>
                <w:color w:val="000000" w:themeColor="text1"/>
              </w:rPr>
            </w:pPr>
            <w:r w:rsidRPr="00991C01">
              <w:rPr>
                <w:rFonts w:ascii="Arial" w:eastAsia="Calibri" w:hAnsi="Arial" w:cs="Arial"/>
                <w:bCs/>
                <w:iCs/>
                <w:color w:val="000000" w:themeColor="text1"/>
              </w:rPr>
              <w:t xml:space="preserve">As there have been </w:t>
            </w:r>
            <w:r w:rsidR="007B26F1" w:rsidRPr="00991C01">
              <w:rPr>
                <w:rFonts w:ascii="Arial" w:eastAsia="Calibri" w:hAnsi="Arial" w:cs="Arial"/>
                <w:bCs/>
                <w:iCs/>
                <w:color w:val="000000" w:themeColor="text1"/>
              </w:rPr>
              <w:t>no issues</w:t>
            </w:r>
            <w:r w:rsidRPr="00991C01">
              <w:rPr>
                <w:rFonts w:ascii="Arial" w:eastAsia="Calibri" w:hAnsi="Arial" w:cs="Arial"/>
                <w:bCs/>
                <w:iCs/>
                <w:color w:val="000000" w:themeColor="text1"/>
              </w:rPr>
              <w:t xml:space="preserve"> reported by trainees in the last 12 months it is not possible to see how the process would work</w:t>
            </w:r>
            <w:r w:rsidR="006D3C06">
              <w:rPr>
                <w:rFonts w:ascii="Arial" w:eastAsia="Calibri" w:hAnsi="Arial" w:cs="Arial"/>
                <w:bCs/>
                <w:iCs/>
                <w:color w:val="000000" w:themeColor="text1"/>
              </w:rPr>
              <w:t>,</w:t>
            </w:r>
            <w:r w:rsidR="00AF1041">
              <w:rPr>
                <w:rFonts w:ascii="Arial" w:eastAsia="Calibri" w:hAnsi="Arial" w:cs="Arial"/>
                <w:bCs/>
                <w:iCs/>
                <w:color w:val="000000" w:themeColor="text1"/>
              </w:rPr>
              <w:t xml:space="preserve"> however, t</w:t>
            </w:r>
            <w:r w:rsidR="007B26F1">
              <w:rPr>
                <w:rFonts w:ascii="Arial" w:eastAsia="Calibri" w:hAnsi="Arial" w:cs="Arial"/>
                <w:bCs/>
                <w:iCs/>
                <w:color w:val="000000" w:themeColor="text1"/>
              </w:rPr>
              <w:t xml:space="preserve">he </w:t>
            </w:r>
            <w:r w:rsidRPr="00991C01">
              <w:rPr>
                <w:rFonts w:ascii="Arial" w:eastAsia="Calibri" w:hAnsi="Arial" w:cs="Arial"/>
                <w:bCs/>
                <w:iCs/>
                <w:color w:val="000000" w:themeColor="text1"/>
              </w:rPr>
              <w:t>National Survey of Dental Specialty Training 2019 and 2020 reported that "No trainees had concerns about patient safety but knew how to raise concerns if they did."</w:t>
            </w:r>
          </w:p>
          <w:p w14:paraId="35B4D48E" w14:textId="754B225A" w:rsidR="007B26F1" w:rsidRDefault="007B26F1" w:rsidP="00991C01">
            <w:pPr>
              <w:contextualSpacing/>
              <w:rPr>
                <w:rFonts w:ascii="Arial" w:eastAsia="Calibri" w:hAnsi="Arial" w:cs="Arial"/>
                <w:bCs/>
                <w:iCs/>
                <w:color w:val="000000" w:themeColor="text1"/>
              </w:rPr>
            </w:pPr>
          </w:p>
          <w:p w14:paraId="5E71BD92" w14:textId="6560EFEB" w:rsidR="007B26F1" w:rsidRPr="00B76F2C" w:rsidRDefault="007B26F1" w:rsidP="00065F52">
            <w:pPr>
              <w:spacing w:after="200"/>
              <w:contextualSpacing/>
              <w:jc w:val="both"/>
              <w:rPr>
                <w:rFonts w:ascii="Arial" w:eastAsia="Calibri" w:hAnsi="Arial" w:cs="Arial"/>
                <w:bCs/>
                <w:iCs/>
                <w:color w:val="000000" w:themeColor="text1"/>
              </w:rPr>
            </w:pPr>
            <w:r w:rsidRPr="00B76F2C">
              <w:rPr>
                <w:rFonts w:ascii="Arial" w:eastAsia="Calibri" w:hAnsi="Arial" w:cs="Arial"/>
                <w:bCs/>
                <w:iCs/>
                <w:color w:val="000000" w:themeColor="text1"/>
              </w:rPr>
              <w:t xml:space="preserve">We were provided with clear evidence that assured us that </w:t>
            </w:r>
            <w:r w:rsidR="003556E2" w:rsidRPr="00B76F2C">
              <w:rPr>
                <w:rFonts w:ascii="Arial" w:eastAsia="Calibri" w:hAnsi="Arial" w:cs="Arial"/>
                <w:bCs/>
                <w:iCs/>
                <w:color w:val="000000" w:themeColor="text1"/>
              </w:rPr>
              <w:t xml:space="preserve">all those involved in the delivery of education and training are aware of their duty to be candid in line with the guidance issued by the GDC. </w:t>
            </w:r>
            <w:r w:rsidRPr="00B76F2C">
              <w:rPr>
                <w:rFonts w:ascii="Arial" w:eastAsia="Calibri" w:hAnsi="Arial" w:cs="Arial"/>
                <w:bCs/>
                <w:iCs/>
                <w:color w:val="000000" w:themeColor="text1"/>
              </w:rPr>
              <w:t xml:space="preserve">HEE SW </w:t>
            </w:r>
            <w:r w:rsidR="006D6DBD">
              <w:rPr>
                <w:rFonts w:ascii="Arial" w:eastAsia="Calibri" w:hAnsi="Arial" w:cs="Arial"/>
                <w:bCs/>
                <w:iCs/>
                <w:color w:val="000000" w:themeColor="text1"/>
              </w:rPr>
              <w:t xml:space="preserve">and </w:t>
            </w:r>
            <w:r w:rsidRPr="00B76F2C">
              <w:rPr>
                <w:rFonts w:ascii="Arial" w:eastAsia="Calibri" w:hAnsi="Arial" w:cs="Arial"/>
                <w:bCs/>
                <w:iCs/>
                <w:color w:val="000000" w:themeColor="text1"/>
              </w:rPr>
              <w:t>TVW outline how a concern should be escalated</w:t>
            </w:r>
            <w:r w:rsidR="00AF1041" w:rsidRPr="00B76F2C">
              <w:rPr>
                <w:rFonts w:ascii="Arial" w:eastAsia="Calibri" w:hAnsi="Arial" w:cs="Arial"/>
                <w:bCs/>
                <w:iCs/>
                <w:color w:val="000000" w:themeColor="text1"/>
              </w:rPr>
              <w:t xml:space="preserve"> and </w:t>
            </w:r>
            <w:r w:rsidRPr="00B76F2C">
              <w:rPr>
                <w:rFonts w:ascii="Arial" w:eastAsia="Calibri" w:hAnsi="Arial" w:cs="Arial"/>
                <w:bCs/>
                <w:iCs/>
                <w:color w:val="000000" w:themeColor="text1"/>
              </w:rPr>
              <w:t xml:space="preserve">that trainers ensure </w:t>
            </w:r>
            <w:r w:rsidR="00AF1041" w:rsidRPr="00B76F2C">
              <w:rPr>
                <w:rFonts w:ascii="Arial" w:eastAsia="Calibri" w:hAnsi="Arial" w:cs="Arial"/>
                <w:bCs/>
                <w:iCs/>
                <w:color w:val="000000" w:themeColor="text1"/>
              </w:rPr>
              <w:t xml:space="preserve">specialty </w:t>
            </w:r>
            <w:r w:rsidRPr="00B76F2C">
              <w:rPr>
                <w:rFonts w:ascii="Arial" w:eastAsia="Calibri" w:hAnsi="Arial" w:cs="Arial"/>
                <w:bCs/>
                <w:iCs/>
                <w:color w:val="000000" w:themeColor="text1"/>
              </w:rPr>
              <w:t>trainees understand how to raise issues of patient safety and feel able to do so.</w:t>
            </w:r>
            <w:r w:rsidR="003556E2" w:rsidRPr="00B76F2C" w:rsidDel="003556E2">
              <w:rPr>
                <w:rFonts w:ascii="Arial" w:eastAsia="Calibri" w:hAnsi="Arial" w:cs="Arial"/>
                <w:bCs/>
                <w:iCs/>
                <w:color w:val="000000" w:themeColor="text1"/>
              </w:rPr>
              <w:t xml:space="preserve"> </w:t>
            </w:r>
            <w:r w:rsidR="003556E2" w:rsidRPr="00B76F2C">
              <w:rPr>
                <w:rFonts w:ascii="Arial" w:eastAsia="Calibri" w:hAnsi="Arial" w:cs="Arial"/>
                <w:bCs/>
                <w:iCs/>
                <w:color w:val="000000" w:themeColor="text1"/>
              </w:rPr>
              <w:t xml:space="preserve">In </w:t>
            </w:r>
            <w:r w:rsidR="003556E2" w:rsidRPr="00EB65DC">
              <w:rPr>
                <w:rFonts w:ascii="Arial" w:eastAsia="Calibri" w:hAnsi="Arial" w:cs="Arial"/>
                <w:bCs/>
                <w:iCs/>
                <w:color w:val="000000" w:themeColor="text1"/>
              </w:rPr>
              <w:t>addition</w:t>
            </w:r>
            <w:r w:rsidR="00B76F2C" w:rsidRPr="00EB65DC">
              <w:rPr>
                <w:rFonts w:ascii="Arial" w:eastAsia="Calibri" w:hAnsi="Arial" w:cs="Arial"/>
                <w:bCs/>
                <w:iCs/>
                <w:color w:val="000000" w:themeColor="text1"/>
              </w:rPr>
              <w:t>,</w:t>
            </w:r>
            <w:r w:rsidR="003556E2" w:rsidRPr="00EB65DC">
              <w:rPr>
                <w:rFonts w:ascii="Arial" w:eastAsia="Calibri" w:hAnsi="Arial" w:cs="Arial"/>
                <w:bCs/>
                <w:iCs/>
                <w:color w:val="000000" w:themeColor="text1"/>
              </w:rPr>
              <w:t xml:space="preserve"> they set out that support must be offered to those who do raise concerns and provide assurance that staff and specialty trainees will not be penalised for doing so. </w:t>
            </w:r>
            <w:r w:rsidR="00B76F2C" w:rsidRPr="00EB65DC">
              <w:rPr>
                <w:rFonts w:ascii="Arial" w:eastAsia="Calibri" w:hAnsi="Arial" w:cs="Arial"/>
                <w:bCs/>
                <w:iCs/>
                <w:color w:val="000000" w:themeColor="text1"/>
              </w:rPr>
              <w:t>Evidence was also provided in relation to HEE TVW’s policies in respect of this requirement.</w:t>
            </w:r>
          </w:p>
          <w:p w14:paraId="26612D65" w14:textId="04080734" w:rsidR="007B26F1" w:rsidRDefault="007B26F1" w:rsidP="00065F52">
            <w:pPr>
              <w:contextualSpacing/>
              <w:rPr>
                <w:rFonts w:ascii="Arial" w:eastAsia="Calibri" w:hAnsi="Arial" w:cs="Arial"/>
                <w:bCs/>
                <w:iCs/>
                <w:color w:val="000000" w:themeColor="text1"/>
              </w:rPr>
            </w:pPr>
          </w:p>
          <w:p w14:paraId="43091907" w14:textId="64BD9CE5" w:rsidR="00A92B7B" w:rsidRDefault="00A92B7B" w:rsidP="00991C01">
            <w:pPr>
              <w:contextualSpacing/>
              <w:rPr>
                <w:rFonts w:ascii="Arial" w:eastAsia="Calibri" w:hAnsi="Arial" w:cs="Arial"/>
                <w:bCs/>
                <w:iCs/>
                <w:color w:val="000000" w:themeColor="text1"/>
              </w:rPr>
            </w:pPr>
            <w:r>
              <w:rPr>
                <w:rFonts w:ascii="Arial" w:eastAsia="Calibri" w:hAnsi="Arial" w:cs="Arial"/>
                <w:bCs/>
                <w:iCs/>
                <w:color w:val="000000" w:themeColor="text1"/>
              </w:rPr>
              <w:t xml:space="preserve">We consider this Requirement to be </w:t>
            </w:r>
            <w:r w:rsidR="00953321">
              <w:rPr>
                <w:rFonts w:ascii="Arial" w:eastAsia="Calibri" w:hAnsi="Arial" w:cs="Arial"/>
                <w:b/>
                <w:iCs/>
                <w:color w:val="000000" w:themeColor="text1"/>
              </w:rPr>
              <w:t>m</w:t>
            </w:r>
            <w:r w:rsidRPr="00D8280A">
              <w:rPr>
                <w:rFonts w:ascii="Arial" w:eastAsia="Calibri" w:hAnsi="Arial" w:cs="Arial"/>
                <w:b/>
                <w:iCs/>
                <w:color w:val="000000" w:themeColor="text1"/>
              </w:rPr>
              <w:t>et</w:t>
            </w:r>
            <w:r>
              <w:rPr>
                <w:rFonts w:ascii="Arial" w:eastAsia="Calibri" w:hAnsi="Arial" w:cs="Arial"/>
                <w:bCs/>
                <w:iCs/>
                <w:color w:val="000000" w:themeColor="text1"/>
              </w:rPr>
              <w:t>.</w:t>
            </w:r>
          </w:p>
          <w:p w14:paraId="03D6473C" w14:textId="564761CB" w:rsidR="00275A6E" w:rsidRPr="007B26F1" w:rsidRDefault="00991C01" w:rsidP="00D6729D">
            <w:pPr>
              <w:contextualSpacing/>
              <w:rPr>
                <w:rFonts w:ascii="Arial" w:eastAsia="Calibri" w:hAnsi="Arial" w:cs="Arial"/>
                <w:bCs/>
                <w:iCs/>
                <w:color w:val="000000" w:themeColor="text1"/>
              </w:rPr>
            </w:pPr>
            <w:r w:rsidRPr="00991C01">
              <w:rPr>
                <w:rFonts w:ascii="Arial" w:eastAsia="Calibri" w:hAnsi="Arial" w:cs="Arial"/>
                <w:bCs/>
                <w:iCs/>
                <w:color w:val="000000" w:themeColor="text1"/>
              </w:rPr>
              <w:t xml:space="preserve"> </w:t>
            </w:r>
          </w:p>
          <w:p w14:paraId="557A129F" w14:textId="3A01EBAB" w:rsidR="00FE233A" w:rsidRDefault="005D5820" w:rsidP="00D6729D">
            <w:pPr>
              <w:contextualSpacing/>
              <w:rPr>
                <w:rFonts w:ascii="Arial" w:eastAsia="Calibri" w:hAnsi="Arial" w:cs="Arial"/>
                <w:b/>
                <w:iCs/>
                <w:color w:val="000000" w:themeColor="text1"/>
              </w:rPr>
            </w:pPr>
            <w:r>
              <w:rPr>
                <w:rFonts w:ascii="Arial" w:eastAsia="Calibri" w:hAnsi="Arial" w:cs="Arial"/>
                <w:b/>
                <w:color w:val="000000" w:themeColor="text1"/>
              </w:rPr>
              <w:t>P</w:t>
            </w:r>
            <w:r w:rsidR="00E2148E">
              <w:rPr>
                <w:rFonts w:ascii="Arial" w:eastAsia="Calibri" w:hAnsi="Arial" w:cs="Arial"/>
                <w:b/>
                <w:color w:val="000000" w:themeColor="text1"/>
              </w:rPr>
              <w:t xml:space="preserve">7: </w:t>
            </w:r>
            <w:r w:rsidR="00FE233A" w:rsidRPr="00FE233A">
              <w:rPr>
                <w:rFonts w:ascii="Arial" w:eastAsia="Calibri" w:hAnsi="Arial" w:cs="Arial"/>
                <w:b/>
                <w:iCs/>
                <w:color w:val="000000" w:themeColor="text1"/>
              </w:rPr>
              <w:t>Programme providers must have mechanisms to identify patient safety issues. Should a patient safety issue arise, action must be taken by the provider with a clear rationale for the extent of the action including, where necessary, informing the relevant regulatory body.</w:t>
            </w:r>
            <w:r w:rsidR="00FE233A">
              <w:rPr>
                <w:rFonts w:ascii="Arial" w:eastAsia="Calibri" w:hAnsi="Arial" w:cs="Arial"/>
                <w:b/>
                <w:iCs/>
                <w:color w:val="000000" w:themeColor="text1"/>
              </w:rPr>
              <w:t xml:space="preserve"> </w:t>
            </w:r>
            <w:r w:rsidR="00611DFC">
              <w:rPr>
                <w:rFonts w:ascii="Arial" w:eastAsia="Calibri" w:hAnsi="Arial" w:cs="Arial"/>
                <w:b/>
                <w:iCs/>
                <w:color w:val="000000" w:themeColor="text1"/>
              </w:rPr>
              <w:t>(</w:t>
            </w:r>
            <w:r w:rsidR="00FE233A">
              <w:rPr>
                <w:rFonts w:ascii="Arial" w:eastAsia="Calibri" w:hAnsi="Arial" w:cs="Arial"/>
                <w:b/>
                <w:iCs/>
                <w:color w:val="000000" w:themeColor="text1"/>
              </w:rPr>
              <w:t xml:space="preserve">Requirement </w:t>
            </w:r>
            <w:r w:rsidR="00A22C30" w:rsidRPr="00D83405">
              <w:rPr>
                <w:rFonts w:ascii="Arial" w:eastAsia="Calibri" w:hAnsi="Arial" w:cs="Arial"/>
                <w:b/>
                <w:iCs/>
                <w:color w:val="000000" w:themeColor="text1"/>
              </w:rPr>
              <w:t>Met</w:t>
            </w:r>
            <w:r w:rsidR="00611DFC">
              <w:rPr>
                <w:rFonts w:ascii="Arial" w:eastAsia="Calibri" w:hAnsi="Arial" w:cs="Arial"/>
                <w:b/>
                <w:iCs/>
                <w:color w:val="000000" w:themeColor="text1"/>
              </w:rPr>
              <w:t>)</w:t>
            </w:r>
            <w:r w:rsidR="00FE233A">
              <w:rPr>
                <w:rFonts w:ascii="Arial" w:eastAsia="Calibri" w:hAnsi="Arial" w:cs="Arial"/>
                <w:b/>
                <w:iCs/>
                <w:color w:val="000000" w:themeColor="text1"/>
              </w:rPr>
              <w:t>.</w:t>
            </w:r>
          </w:p>
          <w:p w14:paraId="20E5DB43" w14:textId="77777777" w:rsidR="00802CBC" w:rsidRPr="00802CBC" w:rsidRDefault="00802CBC" w:rsidP="00802CBC">
            <w:pPr>
              <w:contextualSpacing/>
              <w:rPr>
                <w:rFonts w:ascii="Arial" w:eastAsia="Calibri" w:hAnsi="Arial" w:cs="Arial"/>
                <w:bCs/>
                <w:iCs/>
                <w:color w:val="000000" w:themeColor="text1"/>
              </w:rPr>
            </w:pPr>
          </w:p>
          <w:p w14:paraId="297003BE" w14:textId="13E3ED1A" w:rsidR="000D5948" w:rsidRPr="00EC56F4" w:rsidRDefault="00802CBC" w:rsidP="00802CBC">
            <w:pPr>
              <w:contextualSpacing/>
              <w:rPr>
                <w:rFonts w:ascii="Arial" w:eastAsia="Calibri" w:hAnsi="Arial" w:cs="Arial"/>
                <w:bCs/>
                <w:iCs/>
                <w:color w:val="000000" w:themeColor="text1"/>
              </w:rPr>
            </w:pPr>
            <w:r w:rsidRPr="00865D76">
              <w:rPr>
                <w:rFonts w:ascii="Arial" w:eastAsia="Calibri" w:hAnsi="Arial" w:cs="Arial"/>
                <w:bCs/>
                <w:iCs/>
                <w:color w:val="000000" w:themeColor="text1"/>
              </w:rPr>
              <w:t xml:space="preserve">The LDA clearly sets out the obligations of </w:t>
            </w:r>
            <w:r w:rsidR="00EB0B57" w:rsidRPr="00EB0B57">
              <w:rPr>
                <w:rFonts w:ascii="Arial" w:eastAsia="Calibri" w:hAnsi="Arial" w:cs="Arial"/>
                <w:bCs/>
                <w:iCs/>
                <w:color w:val="000000" w:themeColor="text1"/>
              </w:rPr>
              <w:t>placement providers</w:t>
            </w:r>
            <w:r w:rsidRPr="00EB0B57">
              <w:rPr>
                <w:rFonts w:ascii="Arial" w:eastAsia="Calibri" w:hAnsi="Arial" w:cs="Arial"/>
                <w:bCs/>
                <w:iCs/>
                <w:color w:val="000000" w:themeColor="text1"/>
              </w:rPr>
              <w:t xml:space="preserve"> in</w:t>
            </w:r>
            <w:r w:rsidRPr="00EC56F4">
              <w:rPr>
                <w:rFonts w:ascii="Arial" w:eastAsia="Calibri" w:hAnsi="Arial" w:cs="Arial"/>
                <w:bCs/>
                <w:iCs/>
                <w:color w:val="000000" w:themeColor="text1"/>
              </w:rPr>
              <w:t xml:space="preserve"> relation to this requirement. </w:t>
            </w:r>
          </w:p>
          <w:p w14:paraId="7C117759" w14:textId="4FB6DDAF" w:rsidR="00672BE4" w:rsidRPr="00865D76" w:rsidRDefault="00672BE4" w:rsidP="00802CBC">
            <w:pPr>
              <w:contextualSpacing/>
              <w:rPr>
                <w:rFonts w:ascii="Arial" w:eastAsia="Calibri" w:hAnsi="Arial" w:cs="Arial"/>
                <w:bCs/>
                <w:iCs/>
                <w:color w:val="000000" w:themeColor="text1"/>
              </w:rPr>
            </w:pPr>
          </w:p>
          <w:p w14:paraId="0B1CE3E2" w14:textId="6D600608" w:rsidR="004B628F" w:rsidRPr="00865D76" w:rsidRDefault="00802CBC" w:rsidP="00802CBC">
            <w:pPr>
              <w:contextualSpacing/>
              <w:rPr>
                <w:rFonts w:ascii="Arial" w:eastAsia="Calibri" w:hAnsi="Arial" w:cs="Arial"/>
                <w:bCs/>
                <w:iCs/>
                <w:color w:val="000000" w:themeColor="text1"/>
              </w:rPr>
            </w:pPr>
            <w:r w:rsidRPr="00865D76">
              <w:rPr>
                <w:rFonts w:ascii="Arial" w:eastAsia="Calibri" w:hAnsi="Arial" w:cs="Arial"/>
                <w:bCs/>
                <w:iCs/>
                <w:color w:val="000000" w:themeColor="text1"/>
              </w:rPr>
              <w:t>HEE SW TVW must be informed of any patient safety incidents involving trainees</w:t>
            </w:r>
            <w:r w:rsidR="00672BE4" w:rsidRPr="00865D76">
              <w:rPr>
                <w:rFonts w:ascii="Arial" w:eastAsia="Calibri" w:hAnsi="Arial" w:cs="Arial"/>
                <w:bCs/>
                <w:iCs/>
                <w:color w:val="000000" w:themeColor="text1"/>
              </w:rPr>
              <w:t>. T</w:t>
            </w:r>
            <w:r w:rsidRPr="00865D76">
              <w:rPr>
                <w:rFonts w:ascii="Arial" w:eastAsia="Calibri" w:hAnsi="Arial" w:cs="Arial"/>
                <w:bCs/>
                <w:iCs/>
                <w:color w:val="000000" w:themeColor="text1"/>
              </w:rPr>
              <w:t xml:space="preserve">his is evidenced in the </w:t>
            </w:r>
            <w:r w:rsidR="00637320" w:rsidRPr="00865D76">
              <w:rPr>
                <w:rFonts w:ascii="Arial" w:eastAsia="Calibri" w:hAnsi="Arial" w:cs="Arial"/>
                <w:bCs/>
                <w:iCs/>
                <w:color w:val="000000" w:themeColor="text1"/>
              </w:rPr>
              <w:t xml:space="preserve">HEE SW </w:t>
            </w:r>
            <w:r w:rsidRPr="00865D76">
              <w:rPr>
                <w:rFonts w:ascii="Arial" w:eastAsia="Calibri" w:hAnsi="Arial" w:cs="Arial"/>
                <w:bCs/>
                <w:iCs/>
                <w:color w:val="000000" w:themeColor="text1"/>
              </w:rPr>
              <w:t xml:space="preserve">TPD and ES appointment letters which </w:t>
            </w:r>
            <w:r w:rsidR="00672BE4" w:rsidRPr="00865D76">
              <w:rPr>
                <w:rFonts w:ascii="Arial" w:eastAsia="Calibri" w:hAnsi="Arial" w:cs="Arial"/>
                <w:bCs/>
                <w:iCs/>
                <w:color w:val="000000" w:themeColor="text1"/>
              </w:rPr>
              <w:t xml:space="preserve">set out how they must escalate any patient safety concerns about specialty trainees </w:t>
            </w:r>
            <w:r w:rsidRPr="00865D76">
              <w:rPr>
                <w:rFonts w:ascii="Arial" w:eastAsia="Calibri" w:hAnsi="Arial" w:cs="Arial"/>
                <w:bCs/>
                <w:iCs/>
                <w:color w:val="000000" w:themeColor="text1"/>
              </w:rPr>
              <w:t xml:space="preserve">and </w:t>
            </w:r>
            <w:r w:rsidR="00BD5F38" w:rsidRPr="00865D76">
              <w:rPr>
                <w:rFonts w:ascii="Arial" w:eastAsia="Calibri" w:hAnsi="Arial" w:cs="Arial"/>
                <w:bCs/>
                <w:iCs/>
                <w:color w:val="000000" w:themeColor="text1"/>
              </w:rPr>
              <w:t xml:space="preserve">to </w:t>
            </w:r>
            <w:r w:rsidRPr="00865D76">
              <w:rPr>
                <w:rFonts w:ascii="Arial" w:eastAsia="Calibri" w:hAnsi="Arial" w:cs="Arial"/>
                <w:bCs/>
                <w:iCs/>
                <w:color w:val="000000" w:themeColor="text1"/>
              </w:rPr>
              <w:t>who</w:t>
            </w:r>
            <w:r w:rsidR="00BD5F38" w:rsidRPr="00865D76">
              <w:rPr>
                <w:rFonts w:ascii="Arial" w:eastAsia="Calibri" w:hAnsi="Arial" w:cs="Arial"/>
                <w:bCs/>
                <w:iCs/>
                <w:color w:val="000000" w:themeColor="text1"/>
              </w:rPr>
              <w:t>m</w:t>
            </w:r>
            <w:r w:rsidR="009A7826" w:rsidRPr="00865D76">
              <w:rPr>
                <w:rFonts w:ascii="Arial" w:eastAsia="Calibri" w:hAnsi="Arial" w:cs="Arial"/>
                <w:bCs/>
                <w:iCs/>
                <w:color w:val="000000" w:themeColor="text1"/>
              </w:rPr>
              <w:t xml:space="preserve"> any patient safety issues</w:t>
            </w:r>
            <w:r w:rsidRPr="00865D76">
              <w:rPr>
                <w:rFonts w:ascii="Arial" w:eastAsia="Calibri" w:hAnsi="Arial" w:cs="Arial"/>
                <w:bCs/>
                <w:iCs/>
                <w:color w:val="000000" w:themeColor="text1"/>
              </w:rPr>
              <w:t xml:space="preserve"> should be reporte</w:t>
            </w:r>
            <w:r w:rsidR="00BD5F38" w:rsidRPr="00865D76">
              <w:rPr>
                <w:rFonts w:ascii="Arial" w:eastAsia="Calibri" w:hAnsi="Arial" w:cs="Arial"/>
                <w:bCs/>
                <w:iCs/>
                <w:color w:val="000000" w:themeColor="text1"/>
              </w:rPr>
              <w:t>d</w:t>
            </w:r>
            <w:r w:rsidRPr="00865D76">
              <w:rPr>
                <w:rFonts w:ascii="Arial" w:eastAsia="Calibri" w:hAnsi="Arial" w:cs="Arial"/>
                <w:bCs/>
                <w:iCs/>
                <w:color w:val="000000" w:themeColor="text1"/>
              </w:rPr>
              <w:t xml:space="preserve">. </w:t>
            </w:r>
          </w:p>
          <w:p w14:paraId="1FB77C16" w14:textId="77777777" w:rsidR="00D13BE0" w:rsidRPr="00865D76" w:rsidRDefault="00D13BE0" w:rsidP="00802CBC">
            <w:pPr>
              <w:contextualSpacing/>
              <w:rPr>
                <w:rFonts w:ascii="Arial" w:eastAsia="Calibri" w:hAnsi="Arial" w:cs="Arial"/>
                <w:bCs/>
                <w:iCs/>
                <w:color w:val="000000" w:themeColor="text1"/>
              </w:rPr>
            </w:pPr>
          </w:p>
          <w:p w14:paraId="1326B742" w14:textId="2BADA527" w:rsidR="00D85F10" w:rsidRPr="00865D76" w:rsidRDefault="00953321" w:rsidP="00802CBC">
            <w:pPr>
              <w:contextualSpacing/>
              <w:rPr>
                <w:rFonts w:ascii="Arial" w:eastAsia="Calibri" w:hAnsi="Arial" w:cs="Arial"/>
                <w:bCs/>
                <w:iCs/>
                <w:color w:val="000000" w:themeColor="text1"/>
              </w:rPr>
            </w:pPr>
            <w:r>
              <w:rPr>
                <w:rFonts w:ascii="Arial" w:eastAsia="Calibri" w:hAnsi="Arial" w:cs="Arial"/>
                <w:bCs/>
                <w:iCs/>
                <w:color w:val="000000" w:themeColor="text1"/>
              </w:rPr>
              <w:t>In the original submission of evidence, w</w:t>
            </w:r>
            <w:r w:rsidR="00910003" w:rsidRPr="00865D76">
              <w:rPr>
                <w:rFonts w:ascii="Arial" w:eastAsia="Calibri" w:hAnsi="Arial" w:cs="Arial"/>
                <w:bCs/>
                <w:iCs/>
                <w:color w:val="000000" w:themeColor="text1"/>
              </w:rPr>
              <w:t xml:space="preserve">e were only provided with the HEE SW letter of appointment </w:t>
            </w:r>
            <w:r w:rsidR="009A7826" w:rsidRPr="00865D76">
              <w:rPr>
                <w:rFonts w:ascii="Arial" w:eastAsia="Calibri" w:hAnsi="Arial" w:cs="Arial"/>
                <w:bCs/>
                <w:iCs/>
                <w:color w:val="000000" w:themeColor="text1"/>
              </w:rPr>
              <w:t>for a</w:t>
            </w:r>
            <w:r w:rsidR="00910003" w:rsidRPr="00865D76">
              <w:rPr>
                <w:rFonts w:ascii="Arial" w:eastAsia="Calibri" w:hAnsi="Arial" w:cs="Arial"/>
                <w:bCs/>
                <w:iCs/>
                <w:color w:val="000000" w:themeColor="text1"/>
              </w:rPr>
              <w:t xml:space="preserve"> TPD and did not see </w:t>
            </w:r>
            <w:r w:rsidR="00D13BE0" w:rsidRPr="00865D76">
              <w:rPr>
                <w:rFonts w:ascii="Arial" w:eastAsia="Calibri" w:hAnsi="Arial" w:cs="Arial"/>
                <w:bCs/>
                <w:iCs/>
                <w:color w:val="000000" w:themeColor="text1"/>
              </w:rPr>
              <w:t xml:space="preserve">equivalent </w:t>
            </w:r>
            <w:r w:rsidR="00910003" w:rsidRPr="00865D76">
              <w:rPr>
                <w:rFonts w:ascii="Arial" w:eastAsia="Calibri" w:hAnsi="Arial" w:cs="Arial"/>
                <w:bCs/>
                <w:iCs/>
                <w:color w:val="000000" w:themeColor="text1"/>
              </w:rPr>
              <w:t xml:space="preserve">evidence for TVW. </w:t>
            </w:r>
            <w:r w:rsidR="00D85F10" w:rsidRPr="00865D76">
              <w:rPr>
                <w:rFonts w:ascii="Arial" w:eastAsia="Calibri" w:hAnsi="Arial" w:cs="Arial"/>
                <w:bCs/>
                <w:iCs/>
                <w:color w:val="000000" w:themeColor="text1"/>
              </w:rPr>
              <w:t>Although we were provided with the ES letter of appointment for both SW and TVW, there was no reference in the TVW letter to escalating any patient safety concerns about specialty trainees</w:t>
            </w:r>
            <w:r>
              <w:rPr>
                <w:rFonts w:ascii="Arial" w:eastAsia="Calibri" w:hAnsi="Arial" w:cs="Arial"/>
                <w:bCs/>
                <w:iCs/>
                <w:color w:val="000000" w:themeColor="text1"/>
              </w:rPr>
              <w:t>.</w:t>
            </w:r>
            <w:r w:rsidR="00163E81">
              <w:rPr>
                <w:rFonts w:ascii="Arial" w:eastAsia="Calibri" w:hAnsi="Arial" w:cs="Arial"/>
                <w:bCs/>
                <w:iCs/>
                <w:color w:val="000000" w:themeColor="text1"/>
              </w:rPr>
              <w:t xml:space="preserve"> </w:t>
            </w:r>
            <w:r>
              <w:rPr>
                <w:rFonts w:ascii="Arial" w:eastAsia="Calibri" w:hAnsi="Arial" w:cs="Arial"/>
                <w:bCs/>
                <w:iCs/>
                <w:color w:val="000000" w:themeColor="text1"/>
              </w:rPr>
              <w:t>HEE SW TVW have no</w:t>
            </w:r>
            <w:r w:rsidR="006A4EC4">
              <w:rPr>
                <w:rFonts w:ascii="Arial" w:eastAsia="Calibri" w:hAnsi="Arial" w:cs="Arial"/>
                <w:bCs/>
                <w:iCs/>
                <w:color w:val="000000" w:themeColor="text1"/>
              </w:rPr>
              <w:t>w</w:t>
            </w:r>
            <w:r>
              <w:rPr>
                <w:rFonts w:ascii="Arial" w:eastAsia="Calibri" w:hAnsi="Arial" w:cs="Arial"/>
                <w:bCs/>
                <w:iCs/>
                <w:color w:val="000000" w:themeColor="text1"/>
              </w:rPr>
              <w:t xml:space="preserve"> provided evidence of the appointment letter for TVW and</w:t>
            </w:r>
            <w:r w:rsidR="006A4EC4">
              <w:rPr>
                <w:rFonts w:ascii="Arial" w:eastAsia="Calibri" w:hAnsi="Arial" w:cs="Arial"/>
                <w:bCs/>
                <w:iCs/>
                <w:color w:val="000000" w:themeColor="text1"/>
              </w:rPr>
              <w:t xml:space="preserve"> the TVW ES letter of appointment has been amended to include escalation of patient safety concerns.</w:t>
            </w:r>
            <w:r>
              <w:rPr>
                <w:rFonts w:ascii="Arial" w:eastAsia="Calibri" w:hAnsi="Arial" w:cs="Arial"/>
                <w:bCs/>
                <w:iCs/>
                <w:color w:val="000000" w:themeColor="text1"/>
              </w:rPr>
              <w:t xml:space="preserve"> </w:t>
            </w:r>
            <w:r w:rsidR="006A4EC4">
              <w:rPr>
                <w:rFonts w:ascii="Arial" w:eastAsia="Calibri" w:hAnsi="Arial" w:cs="Arial"/>
                <w:bCs/>
                <w:iCs/>
                <w:color w:val="000000" w:themeColor="text1"/>
              </w:rPr>
              <w:t>W</w:t>
            </w:r>
            <w:r>
              <w:rPr>
                <w:rFonts w:ascii="Arial" w:eastAsia="Calibri" w:hAnsi="Arial" w:cs="Arial"/>
                <w:bCs/>
                <w:iCs/>
                <w:color w:val="000000" w:themeColor="text1"/>
              </w:rPr>
              <w:t>e are assured that this will be sent to all existing ES.</w:t>
            </w:r>
          </w:p>
          <w:p w14:paraId="26F71F10" w14:textId="77777777" w:rsidR="00D85F10" w:rsidRPr="00865D76" w:rsidRDefault="00D85F10" w:rsidP="00802CBC">
            <w:pPr>
              <w:contextualSpacing/>
              <w:rPr>
                <w:rFonts w:ascii="Arial" w:eastAsia="Calibri" w:hAnsi="Arial" w:cs="Arial"/>
                <w:bCs/>
                <w:iCs/>
                <w:color w:val="000000" w:themeColor="text1"/>
              </w:rPr>
            </w:pPr>
          </w:p>
          <w:p w14:paraId="419BDC6C" w14:textId="17E4388E" w:rsidR="00802CBC" w:rsidRPr="00865D76" w:rsidRDefault="00EB0570" w:rsidP="00802CBC">
            <w:pPr>
              <w:contextualSpacing/>
              <w:rPr>
                <w:rFonts w:ascii="Arial" w:eastAsia="Calibri" w:hAnsi="Arial" w:cs="Arial"/>
                <w:bCs/>
                <w:iCs/>
                <w:color w:val="000000" w:themeColor="text1"/>
              </w:rPr>
            </w:pPr>
            <w:r>
              <w:rPr>
                <w:rFonts w:ascii="Arial" w:eastAsia="Calibri" w:hAnsi="Arial" w:cs="Arial"/>
                <w:bCs/>
                <w:iCs/>
                <w:color w:val="000000" w:themeColor="text1"/>
              </w:rPr>
              <w:t>W</w:t>
            </w:r>
            <w:r w:rsidR="00DD4F17">
              <w:rPr>
                <w:rFonts w:ascii="Arial" w:eastAsia="Calibri" w:hAnsi="Arial" w:cs="Arial"/>
                <w:bCs/>
                <w:iCs/>
                <w:color w:val="000000" w:themeColor="text1"/>
              </w:rPr>
              <w:t>e were provided with evidence for both SW and TVW in relation to the</w:t>
            </w:r>
            <w:r w:rsidR="00BC3FAF">
              <w:rPr>
                <w:rFonts w:ascii="Arial" w:eastAsia="Calibri" w:hAnsi="Arial" w:cs="Arial"/>
                <w:bCs/>
                <w:iCs/>
                <w:color w:val="000000" w:themeColor="text1"/>
              </w:rPr>
              <w:t xml:space="preserve"> </w:t>
            </w:r>
            <w:r w:rsidR="00AD539F">
              <w:rPr>
                <w:rFonts w:ascii="Arial" w:eastAsia="Calibri" w:hAnsi="Arial" w:cs="Arial"/>
                <w:bCs/>
                <w:iCs/>
                <w:color w:val="000000" w:themeColor="text1"/>
              </w:rPr>
              <w:t>e</w:t>
            </w:r>
            <w:r w:rsidR="00DD4F17">
              <w:rPr>
                <w:rFonts w:ascii="Arial" w:eastAsia="Calibri" w:hAnsi="Arial" w:cs="Arial"/>
                <w:bCs/>
                <w:iCs/>
                <w:color w:val="000000" w:themeColor="text1"/>
              </w:rPr>
              <w:t>scalation of concerns: Pathway for learners</w:t>
            </w:r>
            <w:r>
              <w:rPr>
                <w:rFonts w:ascii="Arial" w:eastAsia="Calibri" w:hAnsi="Arial" w:cs="Arial"/>
                <w:bCs/>
                <w:iCs/>
                <w:color w:val="000000" w:themeColor="text1"/>
              </w:rPr>
              <w:t>.</w:t>
            </w:r>
          </w:p>
          <w:p w14:paraId="76019D73" w14:textId="1C8FA011" w:rsidR="00672BE4" w:rsidRDefault="00672BE4" w:rsidP="00802CBC">
            <w:pPr>
              <w:contextualSpacing/>
              <w:rPr>
                <w:rFonts w:ascii="Arial" w:eastAsia="Calibri" w:hAnsi="Arial" w:cs="Arial"/>
                <w:bCs/>
                <w:iCs/>
                <w:color w:val="000000" w:themeColor="text1"/>
              </w:rPr>
            </w:pPr>
          </w:p>
          <w:p w14:paraId="5A71064D" w14:textId="3FA5A03C" w:rsidR="00672BE4" w:rsidRDefault="00672BE4" w:rsidP="00672BE4">
            <w:pPr>
              <w:contextualSpacing/>
              <w:rPr>
                <w:rFonts w:ascii="Arial" w:eastAsia="Calibri" w:hAnsi="Arial" w:cs="Arial"/>
                <w:bCs/>
                <w:iCs/>
                <w:color w:val="000000" w:themeColor="text1"/>
              </w:rPr>
            </w:pPr>
            <w:r>
              <w:rPr>
                <w:rFonts w:ascii="Arial" w:eastAsia="Calibri" w:hAnsi="Arial" w:cs="Arial"/>
                <w:bCs/>
                <w:iCs/>
                <w:color w:val="000000" w:themeColor="text1"/>
              </w:rPr>
              <w:t>The evidence provided under this Requirement</w:t>
            </w:r>
            <w:r w:rsidRPr="00802CBC">
              <w:rPr>
                <w:rFonts w:ascii="Arial" w:eastAsia="Calibri" w:hAnsi="Arial" w:cs="Arial"/>
                <w:bCs/>
                <w:iCs/>
                <w:color w:val="000000" w:themeColor="text1"/>
              </w:rPr>
              <w:t xml:space="preserve"> sets out for </w:t>
            </w:r>
            <w:r>
              <w:rPr>
                <w:rFonts w:ascii="Arial" w:eastAsia="Calibri" w:hAnsi="Arial" w:cs="Arial"/>
                <w:bCs/>
                <w:iCs/>
                <w:color w:val="000000" w:themeColor="text1"/>
              </w:rPr>
              <w:t>trainees,</w:t>
            </w:r>
            <w:r w:rsidRPr="00802CBC">
              <w:rPr>
                <w:rFonts w:ascii="Arial" w:eastAsia="Calibri" w:hAnsi="Arial" w:cs="Arial"/>
                <w:bCs/>
                <w:iCs/>
                <w:color w:val="000000" w:themeColor="text1"/>
              </w:rPr>
              <w:t xml:space="preserve"> the obligation to raise any concerns identified about patient safety and to share these with the </w:t>
            </w:r>
            <w:r>
              <w:rPr>
                <w:rFonts w:ascii="Arial" w:eastAsia="Calibri" w:hAnsi="Arial" w:cs="Arial"/>
                <w:bCs/>
                <w:iCs/>
                <w:color w:val="000000" w:themeColor="text1"/>
              </w:rPr>
              <w:t>ES</w:t>
            </w:r>
            <w:r w:rsidR="00163E81">
              <w:rPr>
                <w:rFonts w:ascii="Arial" w:eastAsia="Calibri" w:hAnsi="Arial" w:cs="Arial"/>
                <w:bCs/>
                <w:iCs/>
                <w:color w:val="000000" w:themeColor="text1"/>
              </w:rPr>
              <w:t>.</w:t>
            </w:r>
          </w:p>
          <w:p w14:paraId="4CFC6DF6" w14:textId="77777777" w:rsidR="00672BE4" w:rsidRDefault="00672BE4" w:rsidP="00802CBC">
            <w:pPr>
              <w:contextualSpacing/>
              <w:rPr>
                <w:rFonts w:ascii="Arial" w:eastAsia="Calibri" w:hAnsi="Arial" w:cs="Arial"/>
                <w:bCs/>
                <w:iCs/>
                <w:color w:val="000000" w:themeColor="text1"/>
              </w:rPr>
            </w:pPr>
          </w:p>
          <w:p w14:paraId="22D85168" w14:textId="52E0FB83" w:rsidR="00802CBC" w:rsidRDefault="00802CBC" w:rsidP="00D6729D">
            <w:pPr>
              <w:contextualSpacing/>
              <w:rPr>
                <w:rFonts w:ascii="Arial" w:eastAsia="Calibri" w:hAnsi="Arial" w:cs="Arial"/>
                <w:bCs/>
                <w:iCs/>
                <w:color w:val="000000" w:themeColor="text1"/>
              </w:rPr>
            </w:pPr>
            <w:r>
              <w:rPr>
                <w:rFonts w:ascii="Arial" w:eastAsia="Calibri" w:hAnsi="Arial" w:cs="Arial"/>
                <w:bCs/>
                <w:iCs/>
                <w:color w:val="000000" w:themeColor="text1"/>
              </w:rPr>
              <w:t xml:space="preserve">The </w:t>
            </w:r>
            <w:r w:rsidR="007B26F1" w:rsidRPr="00802CBC">
              <w:rPr>
                <w:rFonts w:ascii="Arial" w:eastAsia="Calibri" w:hAnsi="Arial" w:cs="Arial"/>
                <w:bCs/>
                <w:iCs/>
                <w:color w:val="000000" w:themeColor="text1"/>
              </w:rPr>
              <w:t xml:space="preserve">ARCP process requires sign off by </w:t>
            </w:r>
            <w:r w:rsidR="009A7826">
              <w:rPr>
                <w:rFonts w:ascii="Arial" w:eastAsia="Calibri" w:hAnsi="Arial" w:cs="Arial"/>
                <w:bCs/>
                <w:iCs/>
                <w:color w:val="000000" w:themeColor="text1"/>
              </w:rPr>
              <w:t xml:space="preserve">the </w:t>
            </w:r>
            <w:r w:rsidR="004B628F">
              <w:rPr>
                <w:rFonts w:ascii="Arial" w:eastAsia="Calibri" w:hAnsi="Arial" w:cs="Arial"/>
                <w:bCs/>
                <w:iCs/>
                <w:color w:val="000000" w:themeColor="text1"/>
              </w:rPr>
              <w:t>ES</w:t>
            </w:r>
            <w:r w:rsidR="007B26F1" w:rsidRPr="00802CBC">
              <w:rPr>
                <w:rFonts w:ascii="Arial" w:eastAsia="Calibri" w:hAnsi="Arial" w:cs="Arial"/>
                <w:bCs/>
                <w:iCs/>
                <w:color w:val="000000" w:themeColor="text1"/>
              </w:rPr>
              <w:t xml:space="preserve"> that the trainee has not been involved in any S</w:t>
            </w:r>
            <w:r w:rsidR="00F827C2">
              <w:rPr>
                <w:rFonts w:ascii="Arial" w:eastAsia="Calibri" w:hAnsi="Arial" w:cs="Arial"/>
                <w:bCs/>
                <w:iCs/>
                <w:color w:val="000000" w:themeColor="text1"/>
              </w:rPr>
              <w:t>UI</w:t>
            </w:r>
            <w:r w:rsidR="007B26F1" w:rsidRPr="00802CBC">
              <w:rPr>
                <w:rFonts w:ascii="Arial" w:eastAsia="Calibri" w:hAnsi="Arial" w:cs="Arial"/>
                <w:bCs/>
                <w:iCs/>
                <w:color w:val="000000" w:themeColor="text1"/>
              </w:rPr>
              <w:t xml:space="preserve">, Significant Event Investigation or been named in any </w:t>
            </w:r>
            <w:r w:rsidR="004B628F">
              <w:rPr>
                <w:rFonts w:ascii="Arial" w:eastAsia="Calibri" w:hAnsi="Arial" w:cs="Arial"/>
                <w:bCs/>
                <w:iCs/>
                <w:color w:val="000000" w:themeColor="text1"/>
              </w:rPr>
              <w:t>c</w:t>
            </w:r>
            <w:r w:rsidR="007B26F1" w:rsidRPr="00802CBC">
              <w:rPr>
                <w:rFonts w:ascii="Arial" w:eastAsia="Calibri" w:hAnsi="Arial" w:cs="Arial"/>
                <w:bCs/>
                <w:iCs/>
                <w:color w:val="000000" w:themeColor="text1"/>
              </w:rPr>
              <w:t xml:space="preserve">omplaint. </w:t>
            </w:r>
          </w:p>
          <w:p w14:paraId="27AF3E71" w14:textId="77777777" w:rsidR="00802CBC" w:rsidRDefault="00802CBC" w:rsidP="00D6729D">
            <w:pPr>
              <w:contextualSpacing/>
              <w:rPr>
                <w:rFonts w:ascii="Arial" w:eastAsia="Calibri" w:hAnsi="Arial" w:cs="Arial"/>
                <w:bCs/>
                <w:iCs/>
                <w:color w:val="000000" w:themeColor="text1"/>
              </w:rPr>
            </w:pPr>
          </w:p>
          <w:p w14:paraId="019D57BA" w14:textId="35966F11" w:rsidR="00910003" w:rsidRDefault="007B26F1" w:rsidP="00D6729D">
            <w:pPr>
              <w:contextualSpacing/>
              <w:rPr>
                <w:rFonts w:ascii="Arial" w:eastAsia="Calibri" w:hAnsi="Arial" w:cs="Arial"/>
                <w:bCs/>
                <w:iCs/>
                <w:color w:val="000000" w:themeColor="text1"/>
              </w:rPr>
            </w:pPr>
            <w:r w:rsidRPr="00802CBC">
              <w:rPr>
                <w:rFonts w:ascii="Arial" w:eastAsia="Calibri" w:hAnsi="Arial" w:cs="Arial"/>
                <w:bCs/>
                <w:iCs/>
                <w:color w:val="000000" w:themeColor="text1"/>
              </w:rPr>
              <w:t>HEE South Speciality Training Committees</w:t>
            </w:r>
            <w:r w:rsidR="00802CBC">
              <w:rPr>
                <w:rFonts w:ascii="Arial" w:eastAsia="Calibri" w:hAnsi="Arial" w:cs="Arial"/>
                <w:bCs/>
                <w:iCs/>
                <w:color w:val="000000" w:themeColor="text1"/>
              </w:rPr>
              <w:t xml:space="preserve"> </w:t>
            </w:r>
            <w:r w:rsidRPr="00802CBC">
              <w:rPr>
                <w:rFonts w:ascii="Arial" w:eastAsia="Calibri" w:hAnsi="Arial" w:cs="Arial"/>
                <w:bCs/>
                <w:iCs/>
                <w:color w:val="000000" w:themeColor="text1"/>
              </w:rPr>
              <w:t xml:space="preserve">feed into HEE- South Regional Speciality Training </w:t>
            </w:r>
            <w:r w:rsidR="00802CBC" w:rsidRPr="00802CBC">
              <w:rPr>
                <w:rFonts w:ascii="Arial" w:eastAsia="Calibri" w:hAnsi="Arial" w:cs="Arial"/>
                <w:bCs/>
                <w:iCs/>
                <w:color w:val="000000" w:themeColor="text1"/>
              </w:rPr>
              <w:t>Committee</w:t>
            </w:r>
            <w:r w:rsidR="00DA4F27">
              <w:rPr>
                <w:rFonts w:ascii="Arial" w:eastAsia="Calibri" w:hAnsi="Arial" w:cs="Arial"/>
                <w:bCs/>
                <w:iCs/>
                <w:color w:val="000000" w:themeColor="text1"/>
              </w:rPr>
              <w:t>,</w:t>
            </w:r>
            <w:r w:rsidR="00802CBC" w:rsidRPr="00802CBC">
              <w:rPr>
                <w:rFonts w:ascii="Arial" w:eastAsia="Calibri" w:hAnsi="Arial" w:cs="Arial"/>
                <w:bCs/>
                <w:iCs/>
                <w:color w:val="000000" w:themeColor="text1"/>
              </w:rPr>
              <w:t xml:space="preserve"> which</w:t>
            </w:r>
            <w:r w:rsidRPr="00802CBC">
              <w:rPr>
                <w:rFonts w:ascii="Arial" w:eastAsia="Calibri" w:hAnsi="Arial" w:cs="Arial"/>
                <w:bCs/>
                <w:iCs/>
                <w:color w:val="000000" w:themeColor="text1"/>
              </w:rPr>
              <w:t xml:space="preserve"> has a standing agenda item on incidents and learning points</w:t>
            </w:r>
            <w:r w:rsidR="00910003">
              <w:rPr>
                <w:rFonts w:ascii="Arial" w:eastAsia="Calibri" w:hAnsi="Arial" w:cs="Arial"/>
                <w:bCs/>
                <w:iCs/>
                <w:color w:val="000000" w:themeColor="text1"/>
              </w:rPr>
              <w:t>,</w:t>
            </w:r>
            <w:r w:rsidRPr="00802CBC">
              <w:rPr>
                <w:rFonts w:ascii="Arial" w:eastAsia="Calibri" w:hAnsi="Arial" w:cs="Arial"/>
                <w:bCs/>
                <w:iCs/>
                <w:color w:val="000000" w:themeColor="text1"/>
              </w:rPr>
              <w:t xml:space="preserve"> </w:t>
            </w:r>
            <w:r w:rsidR="00802CBC">
              <w:rPr>
                <w:rFonts w:ascii="Arial" w:eastAsia="Calibri" w:hAnsi="Arial" w:cs="Arial"/>
                <w:bCs/>
                <w:iCs/>
                <w:color w:val="000000" w:themeColor="text1"/>
              </w:rPr>
              <w:t>which</w:t>
            </w:r>
            <w:r w:rsidRPr="00802CBC">
              <w:rPr>
                <w:rFonts w:ascii="Arial" w:eastAsia="Calibri" w:hAnsi="Arial" w:cs="Arial"/>
                <w:bCs/>
                <w:iCs/>
                <w:color w:val="000000" w:themeColor="text1"/>
              </w:rPr>
              <w:t xml:space="preserve"> is then shared across the specialtie</w:t>
            </w:r>
            <w:r w:rsidR="00802CBC">
              <w:rPr>
                <w:rFonts w:ascii="Arial" w:eastAsia="Calibri" w:hAnsi="Arial" w:cs="Arial"/>
                <w:bCs/>
                <w:iCs/>
                <w:color w:val="000000" w:themeColor="text1"/>
              </w:rPr>
              <w:t>s</w:t>
            </w:r>
            <w:r w:rsidRPr="00802CBC">
              <w:rPr>
                <w:rFonts w:ascii="Arial" w:eastAsia="Calibri" w:hAnsi="Arial" w:cs="Arial"/>
                <w:bCs/>
                <w:iCs/>
                <w:color w:val="000000" w:themeColor="text1"/>
              </w:rPr>
              <w:t xml:space="preserve">. </w:t>
            </w:r>
          </w:p>
          <w:p w14:paraId="52E9F07C" w14:textId="77777777" w:rsidR="00910003" w:rsidRDefault="00910003" w:rsidP="00D6729D">
            <w:pPr>
              <w:contextualSpacing/>
              <w:rPr>
                <w:rFonts w:ascii="Arial" w:eastAsia="Calibri" w:hAnsi="Arial" w:cs="Arial"/>
                <w:bCs/>
                <w:iCs/>
                <w:color w:val="000000" w:themeColor="text1"/>
              </w:rPr>
            </w:pPr>
          </w:p>
          <w:p w14:paraId="74833E9C" w14:textId="1E7C3DC3" w:rsidR="007B26F1" w:rsidRPr="00802CBC" w:rsidRDefault="00910003" w:rsidP="00D83405">
            <w:pPr>
              <w:contextualSpacing/>
              <w:rPr>
                <w:rFonts w:ascii="Arial" w:eastAsia="Calibri" w:hAnsi="Arial" w:cs="Arial"/>
                <w:bCs/>
                <w:iCs/>
                <w:color w:val="000000" w:themeColor="text1"/>
              </w:rPr>
            </w:pPr>
            <w:r>
              <w:rPr>
                <w:rFonts w:ascii="Arial" w:eastAsia="Calibri" w:hAnsi="Arial" w:cs="Arial"/>
                <w:bCs/>
                <w:iCs/>
                <w:color w:val="000000" w:themeColor="text1"/>
              </w:rPr>
              <w:t xml:space="preserve">We were provided with meeting minutes, however there were </w:t>
            </w:r>
            <w:r w:rsidR="007B26F1" w:rsidRPr="00802CBC">
              <w:rPr>
                <w:rFonts w:ascii="Arial" w:eastAsia="Calibri" w:hAnsi="Arial" w:cs="Arial"/>
                <w:bCs/>
                <w:iCs/>
                <w:color w:val="000000" w:themeColor="text1"/>
              </w:rPr>
              <w:t xml:space="preserve">no </w:t>
            </w:r>
            <w:r w:rsidRPr="00802CBC">
              <w:rPr>
                <w:rFonts w:ascii="Arial" w:eastAsia="Calibri" w:hAnsi="Arial" w:cs="Arial"/>
                <w:bCs/>
                <w:iCs/>
                <w:color w:val="000000" w:themeColor="text1"/>
              </w:rPr>
              <w:t>safety</w:t>
            </w:r>
            <w:r w:rsidR="007B26F1" w:rsidRPr="00802CBC">
              <w:rPr>
                <w:rFonts w:ascii="Arial" w:eastAsia="Calibri" w:hAnsi="Arial" w:cs="Arial"/>
                <w:bCs/>
                <w:iCs/>
                <w:color w:val="000000" w:themeColor="text1"/>
              </w:rPr>
              <w:t xml:space="preserve"> incidents recorded</w:t>
            </w:r>
            <w:r w:rsidR="00DD4F17">
              <w:rPr>
                <w:rFonts w:ascii="Arial" w:eastAsia="Calibri" w:hAnsi="Arial" w:cs="Arial"/>
                <w:bCs/>
                <w:iCs/>
                <w:color w:val="000000" w:themeColor="text1"/>
              </w:rPr>
              <w:t xml:space="preserve"> as </w:t>
            </w:r>
            <w:r w:rsidR="00B40FAB">
              <w:rPr>
                <w:rFonts w:ascii="Arial" w:eastAsia="Calibri" w:hAnsi="Arial" w:cs="Arial"/>
                <w:bCs/>
                <w:iCs/>
                <w:color w:val="000000" w:themeColor="text1"/>
              </w:rPr>
              <w:t>none had taken place</w:t>
            </w:r>
            <w:r w:rsidR="007B26F1" w:rsidRPr="00802CBC">
              <w:rPr>
                <w:rFonts w:ascii="Arial" w:eastAsia="Calibri" w:hAnsi="Arial" w:cs="Arial"/>
                <w:bCs/>
                <w:iCs/>
                <w:color w:val="000000" w:themeColor="text1"/>
              </w:rPr>
              <w:t xml:space="preserve">. </w:t>
            </w:r>
          </w:p>
          <w:p w14:paraId="68E41DF8" w14:textId="78223B2F" w:rsidR="00CE5E19" w:rsidRPr="00802CBC" w:rsidRDefault="00CE5E19" w:rsidP="00D6729D">
            <w:pPr>
              <w:contextualSpacing/>
              <w:rPr>
                <w:rFonts w:ascii="Arial" w:eastAsia="Calibri" w:hAnsi="Arial" w:cs="Arial"/>
                <w:bCs/>
                <w:iCs/>
                <w:color w:val="000000" w:themeColor="text1"/>
              </w:rPr>
            </w:pPr>
          </w:p>
          <w:p w14:paraId="5FA6D169" w14:textId="572CF7D0" w:rsidR="00CE5E19" w:rsidRDefault="00D83405" w:rsidP="00D6729D">
            <w:pPr>
              <w:contextualSpacing/>
              <w:rPr>
                <w:rFonts w:ascii="Arial" w:eastAsia="Calibri" w:hAnsi="Arial" w:cs="Arial"/>
                <w:bCs/>
                <w:iCs/>
                <w:color w:val="000000" w:themeColor="text1"/>
              </w:rPr>
            </w:pPr>
            <w:r>
              <w:rPr>
                <w:rFonts w:ascii="Arial" w:eastAsia="Calibri" w:hAnsi="Arial" w:cs="Arial"/>
                <w:bCs/>
                <w:iCs/>
                <w:color w:val="000000" w:themeColor="text1"/>
              </w:rPr>
              <w:t xml:space="preserve">The </w:t>
            </w:r>
            <w:r w:rsidR="00CE5E19" w:rsidRPr="00802CBC">
              <w:rPr>
                <w:rFonts w:ascii="Arial" w:eastAsia="Calibri" w:hAnsi="Arial" w:cs="Arial"/>
                <w:bCs/>
                <w:iCs/>
                <w:color w:val="000000" w:themeColor="text1"/>
              </w:rPr>
              <w:t>HEE Quality Handbook describes quality management systems and processes by which HEE evaluate, assess risks, manage and improve quality.</w:t>
            </w:r>
          </w:p>
          <w:p w14:paraId="732BD3BB" w14:textId="73669FB9" w:rsidR="004B628F" w:rsidRDefault="004B628F" w:rsidP="00D6729D">
            <w:pPr>
              <w:contextualSpacing/>
              <w:rPr>
                <w:rFonts w:ascii="Arial" w:eastAsia="Calibri" w:hAnsi="Arial" w:cs="Arial"/>
                <w:bCs/>
                <w:iCs/>
                <w:color w:val="000000" w:themeColor="text1"/>
              </w:rPr>
            </w:pPr>
          </w:p>
          <w:p w14:paraId="6F272F5A" w14:textId="430FF06D" w:rsidR="00E2148E" w:rsidRPr="001F68D0" w:rsidRDefault="004B628F" w:rsidP="00065F52">
            <w:pPr>
              <w:contextualSpacing/>
              <w:rPr>
                <w:rFonts w:ascii="Arial" w:eastAsia="Calibri" w:hAnsi="Arial" w:cs="Arial"/>
                <w:color w:val="000000" w:themeColor="text1"/>
              </w:rPr>
            </w:pPr>
            <w:r>
              <w:rPr>
                <w:rFonts w:ascii="Arial" w:eastAsia="Calibri" w:hAnsi="Arial" w:cs="Arial"/>
                <w:bCs/>
                <w:iCs/>
                <w:color w:val="000000" w:themeColor="text1"/>
              </w:rPr>
              <w:t xml:space="preserve">We consider this Requirement to be </w:t>
            </w:r>
            <w:r w:rsidR="00576157">
              <w:rPr>
                <w:rFonts w:ascii="Arial" w:eastAsia="Calibri" w:hAnsi="Arial" w:cs="Arial"/>
                <w:b/>
                <w:iCs/>
                <w:color w:val="000000" w:themeColor="text1"/>
              </w:rPr>
              <w:t>met.</w:t>
            </w:r>
          </w:p>
        </w:tc>
      </w:tr>
    </w:tbl>
    <w:p w14:paraId="232C64A7" w14:textId="7DF825F7" w:rsidR="005B1E21" w:rsidRDefault="005B1E21" w:rsidP="00D6729D">
      <w:pPr>
        <w:spacing w:line="240" w:lineRule="auto"/>
        <w:contextualSpacing/>
        <w:rPr>
          <w:rFonts w:ascii="Arial" w:hAnsi="Arial" w:cs="Arial"/>
        </w:rPr>
      </w:pPr>
    </w:p>
    <w:p w14:paraId="36769328" w14:textId="77777777" w:rsidR="00E2148E" w:rsidRDefault="00E2148E" w:rsidP="00D6729D">
      <w:pPr>
        <w:spacing w:line="240" w:lineRule="auto"/>
        <w:contextualSpacing/>
        <w:rPr>
          <w:rFonts w:ascii="Arial" w:hAnsi="Arial" w:cs="Arial"/>
        </w:rPr>
      </w:pPr>
    </w:p>
    <w:tbl>
      <w:tblPr>
        <w:tblStyle w:val="TableGrid"/>
        <w:tblW w:w="9464" w:type="dxa"/>
        <w:tblLook w:val="04A0" w:firstRow="1" w:lastRow="0" w:firstColumn="1" w:lastColumn="0" w:noHBand="0" w:noVBand="1"/>
      </w:tblPr>
      <w:tblGrid>
        <w:gridCol w:w="9464"/>
      </w:tblGrid>
      <w:tr w:rsidR="00E2148E" w:rsidRPr="00E50412" w14:paraId="180528A0" w14:textId="77777777" w:rsidTr="00F51D53">
        <w:tc>
          <w:tcPr>
            <w:tcW w:w="9464" w:type="dxa"/>
            <w:shd w:val="clear" w:color="auto" w:fill="2F5496" w:themeFill="accent1" w:themeFillShade="BF"/>
          </w:tcPr>
          <w:p w14:paraId="150265B9" w14:textId="77777777" w:rsidR="00E2148E" w:rsidRPr="00E50412" w:rsidRDefault="00FE233A" w:rsidP="00D6729D">
            <w:pPr>
              <w:contextualSpacing/>
              <w:rPr>
                <w:rFonts w:ascii="Arial" w:hAnsi="Arial" w:cs="Arial"/>
                <w:b/>
                <w:color w:val="FFFFFF" w:themeColor="background1"/>
              </w:rPr>
            </w:pPr>
            <w:r w:rsidRPr="00457C85">
              <w:rPr>
                <w:rFonts w:ascii="Arial" w:hAnsi="Arial" w:cs="Arial"/>
                <w:b/>
                <w:color w:val="FFFFFF" w:themeColor="background1"/>
              </w:rPr>
              <w:t>STANDARD 2 – QUALITY EVALUATION AND REVIEW OF THE PROGRAMME.  The provider must have in place effective policy and procedures for the monitoring and review of the programme leading to recommendation for issue of a certificate of completion of specialist training.</w:t>
            </w:r>
          </w:p>
        </w:tc>
      </w:tr>
      <w:tr w:rsidR="00E2148E" w:rsidRPr="00E50412" w14:paraId="6F83A338" w14:textId="77777777" w:rsidTr="00F51D53">
        <w:trPr>
          <w:trHeight w:val="270"/>
        </w:trPr>
        <w:tc>
          <w:tcPr>
            <w:tcW w:w="9464" w:type="dxa"/>
          </w:tcPr>
          <w:p w14:paraId="18F4415E" w14:textId="77777777" w:rsidR="00E2148E" w:rsidRDefault="00E2148E" w:rsidP="00D6729D">
            <w:pPr>
              <w:contextualSpacing/>
              <w:rPr>
                <w:rFonts w:ascii="Arial" w:eastAsia="Calibri" w:hAnsi="Arial" w:cs="Arial"/>
                <w:b/>
                <w:color w:val="000000" w:themeColor="text1"/>
              </w:rPr>
            </w:pPr>
          </w:p>
          <w:p w14:paraId="6D7C724F" w14:textId="5D107DCF" w:rsidR="00FE233A" w:rsidRDefault="005D5820" w:rsidP="00D6729D">
            <w:pPr>
              <w:contextualSpacing/>
              <w:rPr>
                <w:rFonts w:ascii="Arial" w:eastAsia="Calibri" w:hAnsi="Arial" w:cs="Arial"/>
                <w:b/>
                <w:iCs/>
                <w:color w:val="000000" w:themeColor="text1"/>
              </w:rPr>
            </w:pPr>
            <w:r>
              <w:rPr>
                <w:rFonts w:ascii="Arial" w:eastAsia="Calibri" w:hAnsi="Arial" w:cs="Arial"/>
                <w:b/>
                <w:color w:val="000000" w:themeColor="text1"/>
              </w:rPr>
              <w:t>P</w:t>
            </w:r>
            <w:r w:rsidR="00FE233A">
              <w:rPr>
                <w:rFonts w:ascii="Arial" w:eastAsia="Calibri" w:hAnsi="Arial" w:cs="Arial"/>
                <w:b/>
                <w:color w:val="000000" w:themeColor="text1"/>
              </w:rPr>
              <w:t xml:space="preserve">8: </w:t>
            </w:r>
            <w:r w:rsidR="00FE233A" w:rsidRPr="00FE233A">
              <w:rPr>
                <w:rFonts w:ascii="Arial" w:eastAsia="Calibri" w:hAnsi="Arial" w:cs="Arial"/>
                <w:b/>
                <w:iCs/>
                <w:color w:val="000000" w:themeColor="text1"/>
              </w:rPr>
              <w:t>Programme providers must have a quality framework in place that details how the quality of the programme/examination is managed. This will include ensuring necessary development to programmes that maps across to the GDC approved curriculum/latest learning outcomes for the relevant specialty and adapts to changing legislation and external guidance. There must be a clear statement about where responsibility lies for this quality function.</w:t>
            </w:r>
            <w:r w:rsidR="00FE233A">
              <w:rPr>
                <w:rFonts w:ascii="Arial" w:eastAsia="Calibri" w:hAnsi="Arial" w:cs="Arial"/>
                <w:b/>
                <w:iCs/>
                <w:color w:val="000000" w:themeColor="text1"/>
              </w:rPr>
              <w:t xml:space="preserve"> </w:t>
            </w:r>
            <w:r w:rsidR="00611DFC">
              <w:rPr>
                <w:rFonts w:ascii="Arial" w:eastAsia="Calibri" w:hAnsi="Arial" w:cs="Arial"/>
                <w:b/>
                <w:iCs/>
                <w:color w:val="000000" w:themeColor="text1"/>
              </w:rPr>
              <w:t>(</w:t>
            </w:r>
            <w:r w:rsidR="00FE233A">
              <w:rPr>
                <w:rFonts w:ascii="Arial" w:eastAsia="Calibri" w:hAnsi="Arial" w:cs="Arial"/>
                <w:b/>
                <w:iCs/>
                <w:color w:val="000000" w:themeColor="text1"/>
              </w:rPr>
              <w:t xml:space="preserve">Requirement </w:t>
            </w:r>
            <w:r w:rsidR="008B466F" w:rsidRPr="0019199D">
              <w:rPr>
                <w:rFonts w:ascii="Arial" w:eastAsia="Calibri" w:hAnsi="Arial" w:cs="Arial"/>
                <w:b/>
                <w:iCs/>
                <w:color w:val="000000" w:themeColor="text1"/>
              </w:rPr>
              <w:t>Met</w:t>
            </w:r>
            <w:r w:rsidR="00611DFC" w:rsidRPr="0019199D">
              <w:rPr>
                <w:rFonts w:ascii="Arial" w:eastAsia="Calibri" w:hAnsi="Arial" w:cs="Arial"/>
                <w:b/>
                <w:iCs/>
                <w:color w:val="000000" w:themeColor="text1"/>
              </w:rPr>
              <w:t>)</w:t>
            </w:r>
            <w:r w:rsidR="00FE233A" w:rsidRPr="0019199D">
              <w:rPr>
                <w:rFonts w:ascii="Arial" w:eastAsia="Calibri" w:hAnsi="Arial" w:cs="Arial"/>
                <w:b/>
                <w:iCs/>
                <w:color w:val="000000" w:themeColor="text1"/>
              </w:rPr>
              <w:t>.</w:t>
            </w:r>
          </w:p>
          <w:p w14:paraId="5A3A459F" w14:textId="7A31476F" w:rsidR="00FE233A" w:rsidRDefault="00FE233A" w:rsidP="00D6729D">
            <w:pPr>
              <w:contextualSpacing/>
              <w:rPr>
                <w:rFonts w:ascii="Arial" w:eastAsia="Calibri" w:hAnsi="Arial" w:cs="Arial"/>
                <w:b/>
                <w:color w:val="000000" w:themeColor="text1"/>
              </w:rPr>
            </w:pPr>
          </w:p>
          <w:p w14:paraId="27AFE4F6" w14:textId="3947AF8A" w:rsidR="00FF5ECD" w:rsidRPr="00680C9F" w:rsidRDefault="00D30227" w:rsidP="00FF5ECD">
            <w:pPr>
              <w:contextualSpacing/>
              <w:rPr>
                <w:rFonts w:ascii="Arial" w:hAnsi="Arial" w:cs="Arial"/>
              </w:rPr>
            </w:pPr>
            <w:r>
              <w:rPr>
                <w:rFonts w:ascii="Arial" w:hAnsi="Arial" w:cs="Arial"/>
              </w:rPr>
              <w:t>HEE SW TVW</w:t>
            </w:r>
            <w:r w:rsidR="00FF5ECD" w:rsidRPr="002A0E53">
              <w:rPr>
                <w:rFonts w:ascii="Arial" w:hAnsi="Arial" w:cs="Arial"/>
              </w:rPr>
              <w:t xml:space="preserve"> submitted a th</w:t>
            </w:r>
            <w:r w:rsidR="00FF5ECD">
              <w:rPr>
                <w:rFonts w:ascii="Arial" w:hAnsi="Arial" w:cs="Arial"/>
              </w:rPr>
              <w:t>o</w:t>
            </w:r>
            <w:r w:rsidR="00FF5ECD" w:rsidRPr="002A0E53">
              <w:rPr>
                <w:rFonts w:ascii="Arial" w:hAnsi="Arial" w:cs="Arial"/>
              </w:rPr>
              <w:t>rough self-assessment in addition to</w:t>
            </w:r>
            <w:r w:rsidR="00FF5ECD">
              <w:rPr>
                <w:rFonts w:ascii="Arial" w:hAnsi="Arial" w:cs="Arial"/>
              </w:rPr>
              <w:t xml:space="preserve"> relevant</w:t>
            </w:r>
            <w:r w:rsidR="00FF5ECD" w:rsidRPr="002A0E53">
              <w:rPr>
                <w:rFonts w:ascii="Arial" w:hAnsi="Arial" w:cs="Arial"/>
              </w:rPr>
              <w:t xml:space="preserve"> supporting evidence against this Requirement. </w:t>
            </w:r>
          </w:p>
          <w:p w14:paraId="6D1B24EF" w14:textId="77777777" w:rsidR="00FF5ECD" w:rsidRDefault="00FF5ECD" w:rsidP="00D83405">
            <w:pPr>
              <w:contextualSpacing/>
              <w:rPr>
                <w:rFonts w:ascii="Arial" w:eastAsia="Calibri" w:hAnsi="Arial" w:cs="Arial"/>
                <w:bCs/>
                <w:color w:val="000000" w:themeColor="text1"/>
              </w:rPr>
            </w:pPr>
          </w:p>
          <w:p w14:paraId="5F165DE8" w14:textId="1A713A79" w:rsidR="00BF6489" w:rsidRDefault="00BF6489" w:rsidP="00D83405">
            <w:pPr>
              <w:contextualSpacing/>
              <w:rPr>
                <w:rFonts w:ascii="Arial" w:eastAsia="Calibri" w:hAnsi="Arial" w:cs="Arial"/>
                <w:bCs/>
                <w:color w:val="000000" w:themeColor="text1"/>
              </w:rPr>
            </w:pPr>
            <w:r>
              <w:rPr>
                <w:rFonts w:ascii="Arial" w:eastAsia="Calibri" w:hAnsi="Arial" w:cs="Arial"/>
                <w:bCs/>
                <w:color w:val="000000" w:themeColor="text1"/>
              </w:rPr>
              <w:t xml:space="preserve">The </w:t>
            </w:r>
            <w:r w:rsidR="00D83405" w:rsidRPr="00D83405">
              <w:rPr>
                <w:rFonts w:ascii="Arial" w:eastAsia="Calibri" w:hAnsi="Arial" w:cs="Arial"/>
                <w:bCs/>
                <w:color w:val="000000" w:themeColor="text1"/>
              </w:rPr>
              <w:t>HEE Quality Framework sets out HEE’s expectations for quality within the learning environment</w:t>
            </w:r>
            <w:r>
              <w:rPr>
                <w:rFonts w:ascii="Arial" w:eastAsia="Calibri" w:hAnsi="Arial" w:cs="Arial"/>
                <w:bCs/>
                <w:color w:val="000000" w:themeColor="text1"/>
              </w:rPr>
              <w:t xml:space="preserve"> </w:t>
            </w:r>
            <w:r w:rsidR="00D83405" w:rsidRPr="00D83405">
              <w:rPr>
                <w:rFonts w:ascii="Arial" w:eastAsia="Calibri" w:hAnsi="Arial" w:cs="Arial"/>
                <w:bCs/>
                <w:color w:val="000000" w:themeColor="text1"/>
              </w:rPr>
              <w:t>and represents a single framework</w:t>
            </w:r>
            <w:r>
              <w:rPr>
                <w:rFonts w:ascii="Arial" w:eastAsia="Calibri" w:hAnsi="Arial" w:cs="Arial"/>
                <w:bCs/>
                <w:color w:val="000000" w:themeColor="text1"/>
              </w:rPr>
              <w:t xml:space="preserve"> </w:t>
            </w:r>
            <w:r w:rsidR="00D83405" w:rsidRPr="00D83405">
              <w:rPr>
                <w:rFonts w:ascii="Arial" w:eastAsia="Calibri" w:hAnsi="Arial" w:cs="Arial"/>
                <w:bCs/>
                <w:color w:val="000000" w:themeColor="text1"/>
              </w:rPr>
              <w:t>through which HEE will measure, identify and improve the quality of education and training for all healthcare learners</w:t>
            </w:r>
            <w:r>
              <w:rPr>
                <w:rFonts w:ascii="Arial" w:eastAsia="Calibri" w:hAnsi="Arial" w:cs="Arial"/>
                <w:bCs/>
                <w:color w:val="000000" w:themeColor="text1"/>
              </w:rPr>
              <w:t>.</w:t>
            </w:r>
            <w:r w:rsidR="00D856C4">
              <w:rPr>
                <w:rFonts w:ascii="Arial" w:eastAsia="Calibri" w:hAnsi="Arial" w:cs="Arial"/>
                <w:bCs/>
                <w:color w:val="000000" w:themeColor="text1"/>
              </w:rPr>
              <w:t xml:space="preserve"> </w:t>
            </w:r>
            <w:r w:rsidR="00D856C4" w:rsidRPr="00D83405">
              <w:rPr>
                <w:rFonts w:ascii="Arial" w:eastAsia="Calibri" w:hAnsi="Arial" w:cs="Arial"/>
                <w:bCs/>
                <w:color w:val="000000" w:themeColor="text1"/>
              </w:rPr>
              <w:t xml:space="preserve">This framework provides a platform which maps its functions to all aspects from recruitment to </w:t>
            </w:r>
            <w:r w:rsidR="00AD539F">
              <w:rPr>
                <w:rFonts w:ascii="Arial" w:eastAsia="Calibri" w:hAnsi="Arial" w:cs="Arial"/>
                <w:bCs/>
                <w:color w:val="000000" w:themeColor="text1"/>
              </w:rPr>
              <w:t xml:space="preserve">recommendation of </w:t>
            </w:r>
            <w:r w:rsidR="003D1A44">
              <w:rPr>
                <w:rFonts w:ascii="Arial" w:eastAsia="Calibri" w:hAnsi="Arial" w:cs="Arial"/>
                <w:bCs/>
                <w:color w:val="000000" w:themeColor="text1"/>
              </w:rPr>
              <w:t>Certificate of Completion of Specialist training (</w:t>
            </w:r>
            <w:r w:rsidR="00D856C4" w:rsidRPr="00D83405">
              <w:rPr>
                <w:rFonts w:ascii="Arial" w:eastAsia="Calibri" w:hAnsi="Arial" w:cs="Arial"/>
                <w:bCs/>
                <w:color w:val="000000" w:themeColor="text1"/>
              </w:rPr>
              <w:t>CCST</w:t>
            </w:r>
            <w:r w:rsidR="003D1A44">
              <w:rPr>
                <w:rFonts w:ascii="Arial" w:eastAsia="Calibri" w:hAnsi="Arial" w:cs="Arial"/>
                <w:bCs/>
                <w:color w:val="000000" w:themeColor="text1"/>
              </w:rPr>
              <w:t>)</w:t>
            </w:r>
            <w:r w:rsidR="00D856C4" w:rsidRPr="00D83405">
              <w:rPr>
                <w:rFonts w:ascii="Arial" w:eastAsia="Calibri" w:hAnsi="Arial" w:cs="Arial"/>
                <w:bCs/>
                <w:color w:val="000000" w:themeColor="text1"/>
              </w:rPr>
              <w:t>.</w:t>
            </w:r>
          </w:p>
          <w:p w14:paraId="0C7AE2FC" w14:textId="61628FE6" w:rsidR="00A931D1" w:rsidRDefault="00A931D1" w:rsidP="00D83405">
            <w:pPr>
              <w:contextualSpacing/>
              <w:rPr>
                <w:rFonts w:ascii="Arial" w:eastAsia="Calibri" w:hAnsi="Arial" w:cs="Arial"/>
                <w:bCs/>
                <w:color w:val="000000" w:themeColor="text1"/>
              </w:rPr>
            </w:pPr>
          </w:p>
          <w:p w14:paraId="46DD28E8" w14:textId="65740C9A" w:rsidR="005722BE" w:rsidRDefault="00A931D1" w:rsidP="005722BE">
            <w:pPr>
              <w:contextualSpacing/>
              <w:rPr>
                <w:rFonts w:ascii="Arial" w:eastAsia="Calibri" w:hAnsi="Arial" w:cs="Arial"/>
                <w:bCs/>
                <w:color w:val="000000" w:themeColor="text1"/>
              </w:rPr>
            </w:pPr>
            <w:r w:rsidRPr="00D83405">
              <w:rPr>
                <w:rFonts w:ascii="Arial" w:eastAsia="Calibri" w:hAnsi="Arial" w:cs="Arial"/>
                <w:bCs/>
                <w:color w:val="000000" w:themeColor="text1"/>
              </w:rPr>
              <w:t xml:space="preserve">The narrative provided by HEE states that "Overall responsibility for the quality framework lies with the Regional Postgraduate Medical Dean."  The narrative also states that "All Dental Specialty Training programmes are mapped to the relevant GDC curriculum and learning outcomes, which is further facilitated by the trainee e-Portfolio, where episodes of learning can be evidenced to reflect mapping to the curriculum ". </w:t>
            </w:r>
            <w:r w:rsidR="005722BE" w:rsidRPr="005722BE">
              <w:rPr>
                <w:rFonts w:ascii="Arial" w:eastAsia="Calibri" w:hAnsi="Arial" w:cs="Arial"/>
                <w:bCs/>
                <w:color w:val="000000" w:themeColor="text1"/>
              </w:rPr>
              <w:t xml:space="preserve">The Trainee e-Portfolio demonstrates learning agreements with episodes of learning indicating mapping to the curriculum. </w:t>
            </w:r>
          </w:p>
          <w:p w14:paraId="786A7145" w14:textId="77777777" w:rsidR="00F135E8" w:rsidRPr="000C12F9" w:rsidRDefault="00F135E8" w:rsidP="00D83405">
            <w:pPr>
              <w:contextualSpacing/>
              <w:rPr>
                <w:rFonts w:ascii="Arial" w:eastAsia="Calibri" w:hAnsi="Arial" w:cs="Arial"/>
                <w:bCs/>
                <w:color w:val="000000" w:themeColor="text1"/>
              </w:rPr>
            </w:pPr>
          </w:p>
          <w:p w14:paraId="42F9BB56" w14:textId="7FAC9682" w:rsidR="00D83405" w:rsidRPr="00D83405" w:rsidRDefault="00451202" w:rsidP="00D83405">
            <w:pPr>
              <w:contextualSpacing/>
              <w:rPr>
                <w:rFonts w:ascii="Arial" w:eastAsia="Calibri" w:hAnsi="Arial" w:cs="Arial"/>
                <w:bCs/>
                <w:color w:val="000000" w:themeColor="text1"/>
              </w:rPr>
            </w:pPr>
            <w:r w:rsidRPr="00D83405">
              <w:rPr>
                <w:rFonts w:ascii="Arial" w:eastAsia="Calibri" w:hAnsi="Arial" w:cs="Arial"/>
                <w:bCs/>
                <w:color w:val="000000" w:themeColor="text1"/>
              </w:rPr>
              <w:t>The Regional Quality Scrutiny Oversight Group reports</w:t>
            </w:r>
            <w:r w:rsidR="004F6FA3">
              <w:rPr>
                <w:rFonts w:ascii="Arial" w:eastAsia="Calibri" w:hAnsi="Arial" w:cs="Arial"/>
                <w:bCs/>
                <w:color w:val="000000" w:themeColor="text1"/>
              </w:rPr>
              <w:t>,</w:t>
            </w:r>
            <w:r w:rsidR="008646F5">
              <w:rPr>
                <w:rFonts w:ascii="Arial" w:eastAsia="Calibri" w:hAnsi="Arial" w:cs="Arial"/>
                <w:bCs/>
                <w:color w:val="000000" w:themeColor="text1"/>
              </w:rPr>
              <w:t xml:space="preserve"> </w:t>
            </w:r>
            <w:r w:rsidRPr="00D83405">
              <w:rPr>
                <w:rFonts w:ascii="Arial" w:eastAsia="Calibri" w:hAnsi="Arial" w:cs="Arial"/>
                <w:bCs/>
                <w:color w:val="000000" w:themeColor="text1"/>
              </w:rPr>
              <w:t xml:space="preserve">demonstrate oversight of issues related to dental trainees and confirm actions </w:t>
            </w:r>
            <w:r>
              <w:rPr>
                <w:rFonts w:ascii="Arial" w:eastAsia="Calibri" w:hAnsi="Arial" w:cs="Arial"/>
                <w:bCs/>
                <w:color w:val="000000" w:themeColor="text1"/>
              </w:rPr>
              <w:t xml:space="preserve">have been </w:t>
            </w:r>
            <w:r w:rsidRPr="00D83405">
              <w:rPr>
                <w:rFonts w:ascii="Arial" w:eastAsia="Calibri" w:hAnsi="Arial" w:cs="Arial"/>
                <w:bCs/>
                <w:color w:val="000000" w:themeColor="text1"/>
              </w:rPr>
              <w:t>completed</w:t>
            </w:r>
            <w:r>
              <w:rPr>
                <w:rFonts w:ascii="Arial" w:eastAsia="Calibri" w:hAnsi="Arial" w:cs="Arial"/>
                <w:bCs/>
                <w:color w:val="000000" w:themeColor="text1"/>
              </w:rPr>
              <w:t xml:space="preserve"> appropriately</w:t>
            </w:r>
            <w:r w:rsidR="00A931D1">
              <w:rPr>
                <w:rFonts w:ascii="Arial" w:eastAsia="Calibri" w:hAnsi="Arial" w:cs="Arial"/>
                <w:bCs/>
                <w:color w:val="000000" w:themeColor="text1"/>
              </w:rPr>
              <w:t xml:space="preserve">. </w:t>
            </w:r>
            <w:r w:rsidR="008646F5">
              <w:rPr>
                <w:rFonts w:ascii="Arial" w:eastAsia="Calibri" w:hAnsi="Arial" w:cs="Arial"/>
                <w:bCs/>
                <w:color w:val="000000" w:themeColor="text1"/>
              </w:rPr>
              <w:t>For example, o</w:t>
            </w:r>
            <w:r w:rsidR="00D83405" w:rsidRPr="00D83405">
              <w:rPr>
                <w:rFonts w:ascii="Arial" w:eastAsia="Calibri" w:hAnsi="Arial" w:cs="Arial"/>
                <w:bCs/>
                <w:color w:val="000000" w:themeColor="text1"/>
              </w:rPr>
              <w:t xml:space="preserve">ne trainee </w:t>
            </w:r>
            <w:r w:rsidR="008F74AA">
              <w:rPr>
                <w:rFonts w:ascii="Arial" w:eastAsia="Calibri" w:hAnsi="Arial" w:cs="Arial"/>
                <w:bCs/>
                <w:color w:val="000000" w:themeColor="text1"/>
              </w:rPr>
              <w:t>was</w:t>
            </w:r>
            <w:r w:rsidR="00D83405" w:rsidRPr="00D83405">
              <w:rPr>
                <w:rFonts w:ascii="Arial" w:eastAsia="Calibri" w:hAnsi="Arial" w:cs="Arial"/>
                <w:bCs/>
                <w:color w:val="000000" w:themeColor="text1"/>
              </w:rPr>
              <w:t xml:space="preserve"> moved to another placement due to </w:t>
            </w:r>
            <w:r w:rsidR="00D13BE0">
              <w:rPr>
                <w:rFonts w:ascii="Arial" w:eastAsia="Calibri" w:hAnsi="Arial" w:cs="Arial"/>
                <w:bCs/>
                <w:color w:val="000000" w:themeColor="text1"/>
              </w:rPr>
              <w:t>“</w:t>
            </w:r>
            <w:r w:rsidR="00D83405" w:rsidRPr="00D83405">
              <w:rPr>
                <w:rFonts w:ascii="Arial" w:eastAsia="Calibri" w:hAnsi="Arial" w:cs="Arial"/>
                <w:bCs/>
                <w:color w:val="000000" w:themeColor="text1"/>
              </w:rPr>
              <w:t>problems with the trainee/educational supervisor</w:t>
            </w:r>
            <w:r w:rsidR="00D13BE0">
              <w:rPr>
                <w:rFonts w:ascii="Arial" w:eastAsia="Calibri" w:hAnsi="Arial" w:cs="Arial"/>
                <w:bCs/>
                <w:color w:val="000000" w:themeColor="text1"/>
              </w:rPr>
              <w:t>”</w:t>
            </w:r>
            <w:r w:rsidR="00D83405" w:rsidRPr="00D83405">
              <w:rPr>
                <w:rFonts w:ascii="Arial" w:eastAsia="Calibri" w:hAnsi="Arial" w:cs="Arial"/>
                <w:bCs/>
                <w:color w:val="000000" w:themeColor="text1"/>
              </w:rPr>
              <w:t xml:space="preserve">. </w:t>
            </w:r>
            <w:r w:rsidR="001E64A2">
              <w:rPr>
                <w:rFonts w:ascii="Arial" w:eastAsia="Calibri" w:hAnsi="Arial" w:cs="Arial"/>
                <w:bCs/>
                <w:color w:val="000000" w:themeColor="text1"/>
              </w:rPr>
              <w:t xml:space="preserve">We were provided with a </w:t>
            </w:r>
            <w:r w:rsidR="00D83405" w:rsidRPr="00D83405">
              <w:rPr>
                <w:rFonts w:ascii="Arial" w:eastAsia="Calibri" w:hAnsi="Arial" w:cs="Arial"/>
                <w:bCs/>
                <w:color w:val="000000" w:themeColor="text1"/>
              </w:rPr>
              <w:t xml:space="preserve">report by the </w:t>
            </w:r>
            <w:r w:rsidR="000C12F9" w:rsidRPr="00D83405">
              <w:rPr>
                <w:rFonts w:ascii="Arial" w:eastAsia="Calibri" w:hAnsi="Arial" w:cs="Arial"/>
                <w:bCs/>
                <w:color w:val="000000" w:themeColor="text1"/>
              </w:rPr>
              <w:t>Southwest</w:t>
            </w:r>
            <w:r w:rsidR="00D83405" w:rsidRPr="00D83405">
              <w:rPr>
                <w:rFonts w:ascii="Arial" w:eastAsia="Calibri" w:hAnsi="Arial" w:cs="Arial"/>
                <w:bCs/>
                <w:color w:val="000000" w:themeColor="text1"/>
              </w:rPr>
              <w:t xml:space="preserve"> which investigates</w:t>
            </w:r>
            <w:r w:rsidR="008E3BE3">
              <w:rPr>
                <w:rFonts w:ascii="Arial" w:eastAsia="Calibri" w:hAnsi="Arial" w:cs="Arial"/>
                <w:bCs/>
                <w:color w:val="000000" w:themeColor="text1"/>
              </w:rPr>
              <w:t xml:space="preserve"> the</w:t>
            </w:r>
            <w:r w:rsidR="00D83405" w:rsidRPr="00D83405">
              <w:rPr>
                <w:rFonts w:ascii="Arial" w:eastAsia="Calibri" w:hAnsi="Arial" w:cs="Arial"/>
                <w:bCs/>
                <w:color w:val="000000" w:themeColor="text1"/>
              </w:rPr>
              <w:t xml:space="preserve"> risks assessed</w:t>
            </w:r>
            <w:r w:rsidR="001E64A2">
              <w:rPr>
                <w:rFonts w:ascii="Arial" w:eastAsia="Calibri" w:hAnsi="Arial" w:cs="Arial"/>
                <w:bCs/>
                <w:color w:val="000000" w:themeColor="text1"/>
              </w:rPr>
              <w:t>, t</w:t>
            </w:r>
            <w:r w:rsidR="00D83405" w:rsidRPr="00D83405">
              <w:rPr>
                <w:rFonts w:ascii="Arial" w:eastAsia="Calibri" w:hAnsi="Arial" w:cs="Arial"/>
                <w:bCs/>
                <w:color w:val="000000" w:themeColor="text1"/>
              </w:rPr>
              <w:t>his provided evidence that concerns are escalated,</w:t>
            </w:r>
            <w:r w:rsidR="00D83405" w:rsidRPr="00D83405">
              <w:rPr>
                <w:rFonts w:ascii="Arial" w:eastAsia="Calibri" w:hAnsi="Arial" w:cs="Arial"/>
                <w:b/>
                <w:color w:val="000000" w:themeColor="text1"/>
              </w:rPr>
              <w:t xml:space="preserve"> </w:t>
            </w:r>
            <w:r w:rsidR="001E64A2" w:rsidRPr="00D83405">
              <w:rPr>
                <w:rFonts w:ascii="Arial" w:eastAsia="Calibri" w:hAnsi="Arial" w:cs="Arial"/>
                <w:bCs/>
                <w:color w:val="000000" w:themeColor="text1"/>
              </w:rPr>
              <w:t>investigated,</w:t>
            </w:r>
            <w:r w:rsidR="00D83405" w:rsidRPr="00D83405">
              <w:rPr>
                <w:rFonts w:ascii="Arial" w:eastAsia="Calibri" w:hAnsi="Arial" w:cs="Arial"/>
                <w:bCs/>
                <w:color w:val="000000" w:themeColor="text1"/>
              </w:rPr>
              <w:t xml:space="preserve"> and resolved.</w:t>
            </w:r>
          </w:p>
          <w:p w14:paraId="3CD06201" w14:textId="4C6F6166" w:rsidR="00D83405" w:rsidRPr="00D83405" w:rsidRDefault="00D83405" w:rsidP="00D83405">
            <w:pPr>
              <w:contextualSpacing/>
              <w:rPr>
                <w:rFonts w:ascii="Arial" w:eastAsia="Calibri" w:hAnsi="Arial" w:cs="Arial"/>
                <w:bCs/>
                <w:color w:val="000000" w:themeColor="text1"/>
              </w:rPr>
            </w:pPr>
          </w:p>
          <w:p w14:paraId="4CEF90AC" w14:textId="549F25FF" w:rsidR="00D83405" w:rsidRPr="00D83405" w:rsidRDefault="005722BE" w:rsidP="00D83405">
            <w:pPr>
              <w:contextualSpacing/>
              <w:rPr>
                <w:rFonts w:ascii="Arial" w:eastAsia="Calibri" w:hAnsi="Arial" w:cs="Arial"/>
                <w:bCs/>
                <w:color w:val="000000" w:themeColor="text1"/>
              </w:rPr>
            </w:pPr>
            <w:r w:rsidRPr="005722BE">
              <w:rPr>
                <w:rFonts w:ascii="Arial" w:eastAsia="Calibri" w:hAnsi="Arial" w:cs="Arial"/>
                <w:bCs/>
                <w:color w:val="000000" w:themeColor="text1"/>
              </w:rPr>
              <w:t>The ARCP summary demonstrates oversight across all trainees.</w:t>
            </w:r>
          </w:p>
          <w:p w14:paraId="6D4C60A6" w14:textId="77777777" w:rsidR="005722BE" w:rsidRDefault="005722BE" w:rsidP="00D83405">
            <w:pPr>
              <w:contextualSpacing/>
              <w:rPr>
                <w:rFonts w:ascii="Arial" w:eastAsia="Calibri" w:hAnsi="Arial" w:cs="Arial"/>
                <w:bCs/>
                <w:color w:val="FF0000"/>
              </w:rPr>
            </w:pPr>
          </w:p>
          <w:p w14:paraId="1D6D5EAE" w14:textId="1DD9D2C7" w:rsidR="005722BE" w:rsidRDefault="00D83405" w:rsidP="00D83405">
            <w:pPr>
              <w:contextualSpacing/>
              <w:rPr>
                <w:rFonts w:ascii="Arial" w:eastAsia="Calibri" w:hAnsi="Arial" w:cs="Arial"/>
                <w:bCs/>
                <w:color w:val="000000" w:themeColor="text1"/>
              </w:rPr>
            </w:pPr>
            <w:r w:rsidRPr="005722BE">
              <w:rPr>
                <w:rFonts w:ascii="Arial" w:eastAsia="Calibri" w:hAnsi="Arial" w:cs="Arial"/>
                <w:bCs/>
                <w:color w:val="000000" w:themeColor="text1"/>
              </w:rPr>
              <w:t xml:space="preserve">Four </w:t>
            </w:r>
            <w:r w:rsidR="00FF5ECD">
              <w:rPr>
                <w:rFonts w:ascii="Arial" w:eastAsia="Calibri" w:hAnsi="Arial" w:cs="Arial"/>
                <w:bCs/>
                <w:color w:val="000000" w:themeColor="text1"/>
              </w:rPr>
              <w:t>Specialty Training Committees (</w:t>
            </w:r>
            <w:r w:rsidRPr="005722BE">
              <w:rPr>
                <w:rFonts w:ascii="Arial" w:eastAsia="Calibri" w:hAnsi="Arial" w:cs="Arial"/>
                <w:bCs/>
                <w:color w:val="000000" w:themeColor="text1"/>
              </w:rPr>
              <w:t>STCs</w:t>
            </w:r>
            <w:r w:rsidR="00FF5ECD">
              <w:rPr>
                <w:rFonts w:ascii="Arial" w:eastAsia="Calibri" w:hAnsi="Arial" w:cs="Arial"/>
                <w:bCs/>
                <w:color w:val="000000" w:themeColor="text1"/>
              </w:rPr>
              <w:t>)</w:t>
            </w:r>
            <w:r w:rsidRPr="005722BE">
              <w:rPr>
                <w:rFonts w:ascii="Arial" w:eastAsia="Calibri" w:hAnsi="Arial" w:cs="Arial"/>
                <w:bCs/>
                <w:color w:val="000000" w:themeColor="text1"/>
              </w:rPr>
              <w:t xml:space="preserve"> meet separately to review the requirements of the training programme with representation from the </w:t>
            </w:r>
            <w:r w:rsidR="00FF5ECD">
              <w:rPr>
                <w:rFonts w:ascii="Arial" w:eastAsia="Calibri" w:hAnsi="Arial" w:cs="Arial"/>
                <w:bCs/>
                <w:color w:val="000000" w:themeColor="text1"/>
              </w:rPr>
              <w:t>PGDD</w:t>
            </w:r>
            <w:r w:rsidRPr="005722BE">
              <w:rPr>
                <w:rFonts w:ascii="Arial" w:eastAsia="Calibri" w:hAnsi="Arial" w:cs="Arial"/>
                <w:bCs/>
                <w:color w:val="000000" w:themeColor="text1"/>
              </w:rPr>
              <w:t xml:space="preserve"> and </w:t>
            </w:r>
            <w:r w:rsidR="00FF5ECD">
              <w:rPr>
                <w:rFonts w:ascii="Arial" w:eastAsia="Calibri" w:hAnsi="Arial" w:cs="Arial"/>
                <w:bCs/>
                <w:color w:val="000000" w:themeColor="text1"/>
              </w:rPr>
              <w:t>TPD. There is</w:t>
            </w:r>
            <w:r w:rsidRPr="005722BE">
              <w:rPr>
                <w:rFonts w:ascii="Arial" w:eastAsia="Calibri" w:hAnsi="Arial" w:cs="Arial"/>
                <w:bCs/>
                <w:color w:val="000000" w:themeColor="text1"/>
              </w:rPr>
              <w:t xml:space="preserve"> </w:t>
            </w:r>
            <w:r w:rsidR="005722BE" w:rsidRPr="005722BE">
              <w:rPr>
                <w:rFonts w:ascii="Arial" w:eastAsia="Calibri" w:hAnsi="Arial" w:cs="Arial"/>
                <w:bCs/>
                <w:color w:val="000000" w:themeColor="text1"/>
              </w:rPr>
              <w:t xml:space="preserve">a </w:t>
            </w:r>
            <w:r w:rsidRPr="005722BE">
              <w:rPr>
                <w:rFonts w:ascii="Arial" w:eastAsia="Calibri" w:hAnsi="Arial" w:cs="Arial"/>
                <w:bCs/>
                <w:color w:val="000000" w:themeColor="text1"/>
              </w:rPr>
              <w:t xml:space="preserve">standardised agenda ensuring training is adapted to reflect changing legislation and external guidance. </w:t>
            </w:r>
          </w:p>
          <w:p w14:paraId="2D65D464" w14:textId="5CB75C58" w:rsidR="00FF5ECD" w:rsidRDefault="00FF5ECD" w:rsidP="00D83405">
            <w:pPr>
              <w:contextualSpacing/>
              <w:rPr>
                <w:rFonts w:ascii="Arial" w:eastAsia="Calibri" w:hAnsi="Arial" w:cs="Arial"/>
                <w:bCs/>
                <w:color w:val="000000" w:themeColor="text1"/>
              </w:rPr>
            </w:pPr>
            <w:r>
              <w:rPr>
                <w:rFonts w:ascii="Arial" w:eastAsia="Calibri" w:hAnsi="Arial" w:cs="Arial"/>
                <w:bCs/>
                <w:color w:val="000000" w:themeColor="text1"/>
              </w:rPr>
              <w:lastRenderedPageBreak/>
              <w:t xml:space="preserve">We consider this Requirement to be </w:t>
            </w:r>
            <w:r w:rsidRPr="00D8280A">
              <w:rPr>
                <w:rFonts w:ascii="Arial" w:eastAsia="Calibri" w:hAnsi="Arial" w:cs="Arial"/>
                <w:b/>
              </w:rPr>
              <w:t>met</w:t>
            </w:r>
            <w:r>
              <w:rPr>
                <w:rFonts w:ascii="Arial" w:eastAsia="Calibri" w:hAnsi="Arial" w:cs="Arial"/>
                <w:bCs/>
                <w:color w:val="000000" w:themeColor="text1"/>
              </w:rPr>
              <w:t>.</w:t>
            </w:r>
          </w:p>
          <w:p w14:paraId="2FEC18D0" w14:textId="77777777" w:rsidR="00FE233A" w:rsidRDefault="00FE233A" w:rsidP="00D6729D">
            <w:pPr>
              <w:contextualSpacing/>
              <w:rPr>
                <w:rFonts w:ascii="Arial" w:eastAsia="Calibri" w:hAnsi="Arial" w:cs="Arial"/>
                <w:b/>
                <w:color w:val="000000" w:themeColor="text1"/>
              </w:rPr>
            </w:pPr>
          </w:p>
          <w:p w14:paraId="0F80AEF2" w14:textId="53207352" w:rsidR="00412C14" w:rsidRDefault="005D5820" w:rsidP="00D6729D">
            <w:pPr>
              <w:contextualSpacing/>
              <w:rPr>
                <w:rFonts w:ascii="Arial" w:hAnsi="Arial" w:cs="Arial"/>
                <w:b/>
                <w:iCs/>
              </w:rPr>
            </w:pPr>
            <w:r>
              <w:rPr>
                <w:rFonts w:ascii="Arial" w:eastAsia="Calibri" w:hAnsi="Arial" w:cs="Arial"/>
                <w:b/>
                <w:color w:val="000000" w:themeColor="text1"/>
              </w:rPr>
              <w:t>P</w:t>
            </w:r>
            <w:r w:rsidR="00E2148E">
              <w:rPr>
                <w:rFonts w:ascii="Arial" w:eastAsia="Calibri" w:hAnsi="Arial" w:cs="Arial"/>
                <w:b/>
                <w:color w:val="000000" w:themeColor="text1"/>
              </w:rPr>
              <w:t xml:space="preserve">9: </w:t>
            </w:r>
            <w:r w:rsidR="00412C14" w:rsidRPr="00412C14">
              <w:rPr>
                <w:rFonts w:ascii="Arial" w:hAnsi="Arial" w:cs="Arial"/>
                <w:b/>
                <w:iCs/>
              </w:rPr>
              <w:t>Providers must address any concerns identified through the operation of this quality framework, including internal and external reports relating to quality, as soon as possible.</w:t>
            </w:r>
            <w:r w:rsidR="00412C14">
              <w:rPr>
                <w:rFonts w:ascii="Arial" w:hAnsi="Arial" w:cs="Arial"/>
                <w:b/>
                <w:iCs/>
              </w:rPr>
              <w:t xml:space="preserve"> </w:t>
            </w:r>
            <w:r w:rsidR="00611DFC">
              <w:rPr>
                <w:rFonts w:ascii="Arial" w:hAnsi="Arial" w:cs="Arial"/>
                <w:b/>
                <w:iCs/>
              </w:rPr>
              <w:t>(</w:t>
            </w:r>
            <w:r w:rsidR="00412C14">
              <w:rPr>
                <w:rFonts w:ascii="Arial" w:hAnsi="Arial" w:cs="Arial"/>
                <w:b/>
                <w:iCs/>
              </w:rPr>
              <w:t xml:space="preserve">Requirement </w:t>
            </w:r>
            <w:r w:rsidR="008B466F" w:rsidRPr="0004225B">
              <w:rPr>
                <w:rFonts w:ascii="Arial" w:eastAsia="Calibri" w:hAnsi="Arial" w:cs="Arial"/>
                <w:b/>
                <w:iCs/>
                <w:color w:val="000000" w:themeColor="text1"/>
              </w:rPr>
              <w:t>Met</w:t>
            </w:r>
            <w:r w:rsidR="00611DFC">
              <w:rPr>
                <w:rFonts w:ascii="Arial" w:hAnsi="Arial" w:cs="Arial"/>
                <w:b/>
                <w:iCs/>
              </w:rPr>
              <w:t>)</w:t>
            </w:r>
            <w:r w:rsidR="00412C14">
              <w:rPr>
                <w:rFonts w:ascii="Arial" w:hAnsi="Arial" w:cs="Arial"/>
                <w:b/>
                <w:iCs/>
              </w:rPr>
              <w:t>.</w:t>
            </w:r>
          </w:p>
          <w:p w14:paraId="56C4230C" w14:textId="28051E20" w:rsidR="00412C14" w:rsidRPr="00AE0A74" w:rsidRDefault="00412C14" w:rsidP="00D6729D">
            <w:pPr>
              <w:contextualSpacing/>
              <w:rPr>
                <w:rFonts w:ascii="Arial" w:hAnsi="Arial" w:cs="Arial"/>
                <w:bCs/>
                <w:iCs/>
                <w:sz w:val="20"/>
                <w:szCs w:val="20"/>
              </w:rPr>
            </w:pPr>
          </w:p>
          <w:p w14:paraId="4B99D9D5" w14:textId="3D141E20" w:rsidR="00550756" w:rsidRPr="004C3601" w:rsidRDefault="00550756" w:rsidP="00D6729D">
            <w:pPr>
              <w:contextualSpacing/>
              <w:rPr>
                <w:rFonts w:ascii="Arial" w:hAnsi="Arial" w:cs="Arial"/>
                <w:bCs/>
                <w:iCs/>
              </w:rPr>
            </w:pPr>
            <w:r w:rsidRPr="004C3601">
              <w:rPr>
                <w:rFonts w:ascii="Arial" w:hAnsi="Arial" w:cs="Arial"/>
                <w:bCs/>
                <w:iCs/>
              </w:rPr>
              <w:t xml:space="preserve">Evidence provided under Requirements 3 and 8 </w:t>
            </w:r>
            <w:r w:rsidR="00711799">
              <w:rPr>
                <w:rFonts w:ascii="Arial" w:hAnsi="Arial" w:cs="Arial"/>
                <w:bCs/>
                <w:iCs/>
              </w:rPr>
              <w:t xml:space="preserve">also </w:t>
            </w:r>
            <w:r w:rsidRPr="004C3601">
              <w:rPr>
                <w:rFonts w:ascii="Arial" w:hAnsi="Arial" w:cs="Arial"/>
                <w:bCs/>
                <w:iCs/>
              </w:rPr>
              <w:t>provided assurance in relation to the quality framework and processes.</w:t>
            </w:r>
          </w:p>
          <w:p w14:paraId="79F88C98" w14:textId="77777777" w:rsidR="00550756" w:rsidRPr="004C3601" w:rsidRDefault="00550756" w:rsidP="00D6729D">
            <w:pPr>
              <w:contextualSpacing/>
              <w:rPr>
                <w:rFonts w:ascii="Arial" w:hAnsi="Arial" w:cs="Arial"/>
                <w:bCs/>
                <w:iCs/>
              </w:rPr>
            </w:pPr>
          </w:p>
          <w:p w14:paraId="601246B0" w14:textId="3AB83D45" w:rsidR="00301C1E" w:rsidRDefault="00AE0A74" w:rsidP="00D6729D">
            <w:pPr>
              <w:contextualSpacing/>
              <w:rPr>
                <w:rFonts w:ascii="Arial" w:hAnsi="Arial" w:cs="Arial"/>
                <w:bCs/>
                <w:iCs/>
              </w:rPr>
            </w:pPr>
            <w:r w:rsidRPr="004C3601">
              <w:rPr>
                <w:rFonts w:ascii="Arial" w:hAnsi="Arial" w:cs="Arial"/>
                <w:bCs/>
                <w:iCs/>
              </w:rPr>
              <w:t>Areas for concern are identified via</w:t>
            </w:r>
            <w:r w:rsidR="00550756" w:rsidRPr="004C3601">
              <w:rPr>
                <w:rFonts w:ascii="Arial" w:hAnsi="Arial" w:cs="Arial"/>
                <w:bCs/>
                <w:iCs/>
              </w:rPr>
              <w:t xml:space="preserve"> the</w:t>
            </w:r>
            <w:r w:rsidRPr="004C3601">
              <w:rPr>
                <w:rFonts w:ascii="Arial" w:hAnsi="Arial" w:cs="Arial"/>
                <w:bCs/>
                <w:iCs/>
              </w:rPr>
              <w:t xml:space="preserve"> </w:t>
            </w:r>
            <w:r w:rsidR="00301C1E">
              <w:rPr>
                <w:rFonts w:ascii="Arial" w:hAnsi="Arial" w:cs="Arial"/>
                <w:bCs/>
                <w:iCs/>
              </w:rPr>
              <w:t>PGDD</w:t>
            </w:r>
            <w:r w:rsidRPr="004C3601">
              <w:rPr>
                <w:rFonts w:ascii="Arial" w:hAnsi="Arial" w:cs="Arial"/>
                <w:bCs/>
                <w:iCs/>
              </w:rPr>
              <w:t xml:space="preserve"> and Quality Team</w:t>
            </w:r>
            <w:r w:rsidR="00F135E8">
              <w:rPr>
                <w:rFonts w:ascii="Arial" w:hAnsi="Arial" w:cs="Arial"/>
                <w:bCs/>
                <w:iCs/>
              </w:rPr>
              <w:t>. Any concerns are</w:t>
            </w:r>
            <w:r w:rsidR="00F135E8" w:rsidRPr="004C3601">
              <w:rPr>
                <w:rFonts w:ascii="Arial" w:hAnsi="Arial" w:cs="Arial"/>
                <w:bCs/>
                <w:iCs/>
              </w:rPr>
              <w:t xml:space="preserve"> discussed</w:t>
            </w:r>
            <w:r w:rsidRPr="004C3601">
              <w:rPr>
                <w:rFonts w:ascii="Arial" w:hAnsi="Arial" w:cs="Arial"/>
                <w:bCs/>
                <w:iCs/>
              </w:rPr>
              <w:t xml:space="preserve"> with all stakeholders </w:t>
            </w:r>
            <w:r w:rsidR="00550756" w:rsidRPr="004C3601">
              <w:rPr>
                <w:rFonts w:ascii="Arial" w:hAnsi="Arial" w:cs="Arial"/>
                <w:bCs/>
                <w:iCs/>
              </w:rPr>
              <w:t>to resolve</w:t>
            </w:r>
            <w:r w:rsidRPr="004C3601">
              <w:rPr>
                <w:rFonts w:ascii="Arial" w:hAnsi="Arial" w:cs="Arial"/>
                <w:bCs/>
                <w:iCs/>
              </w:rPr>
              <w:t xml:space="preserve"> issues identified</w:t>
            </w:r>
            <w:r w:rsidR="00F135E8">
              <w:rPr>
                <w:rFonts w:ascii="Arial" w:hAnsi="Arial" w:cs="Arial"/>
                <w:bCs/>
                <w:iCs/>
              </w:rPr>
              <w:t xml:space="preserve"> and</w:t>
            </w:r>
            <w:r w:rsidRPr="004C3601">
              <w:rPr>
                <w:rFonts w:ascii="Arial" w:hAnsi="Arial" w:cs="Arial"/>
                <w:bCs/>
                <w:iCs/>
              </w:rPr>
              <w:t xml:space="preserve"> where appropriate</w:t>
            </w:r>
            <w:r w:rsidR="00F135E8">
              <w:rPr>
                <w:rFonts w:ascii="Arial" w:hAnsi="Arial" w:cs="Arial"/>
                <w:bCs/>
                <w:iCs/>
              </w:rPr>
              <w:t>,</w:t>
            </w:r>
            <w:r w:rsidRPr="004C3601">
              <w:rPr>
                <w:rFonts w:ascii="Arial" w:hAnsi="Arial" w:cs="Arial"/>
                <w:bCs/>
                <w:iCs/>
              </w:rPr>
              <w:t xml:space="preserve"> Quality Intervention</w:t>
            </w:r>
            <w:r w:rsidR="00F135E8">
              <w:rPr>
                <w:rFonts w:ascii="Arial" w:hAnsi="Arial" w:cs="Arial"/>
                <w:bCs/>
                <w:iCs/>
              </w:rPr>
              <w:t xml:space="preserve"> takes place</w:t>
            </w:r>
            <w:r w:rsidRPr="004C3601">
              <w:rPr>
                <w:rFonts w:ascii="Arial" w:hAnsi="Arial" w:cs="Arial"/>
                <w:bCs/>
                <w:iCs/>
              </w:rPr>
              <w:t>.</w:t>
            </w:r>
          </w:p>
          <w:p w14:paraId="72180141" w14:textId="77777777" w:rsidR="00301C1E" w:rsidRDefault="00301C1E" w:rsidP="00D6729D">
            <w:pPr>
              <w:contextualSpacing/>
              <w:rPr>
                <w:rFonts w:ascii="Arial" w:hAnsi="Arial" w:cs="Arial"/>
                <w:bCs/>
                <w:iCs/>
              </w:rPr>
            </w:pPr>
          </w:p>
          <w:p w14:paraId="5CC8300E" w14:textId="68A5D451" w:rsidR="00301C1E" w:rsidRDefault="00301C1E" w:rsidP="00D6729D">
            <w:pPr>
              <w:contextualSpacing/>
              <w:rPr>
                <w:rFonts w:ascii="Arial" w:hAnsi="Arial" w:cs="Arial"/>
                <w:bCs/>
                <w:iCs/>
              </w:rPr>
            </w:pPr>
            <w:r>
              <w:rPr>
                <w:rFonts w:ascii="Arial" w:hAnsi="Arial" w:cs="Arial"/>
                <w:bCs/>
                <w:iCs/>
              </w:rPr>
              <w:t>The following evidence provided assurance and demonstrated that specialty concerns are identified and considered:</w:t>
            </w:r>
          </w:p>
          <w:p w14:paraId="3CCF12F3" w14:textId="6F16C0DA" w:rsidR="00301C1E" w:rsidRDefault="00301C1E" w:rsidP="00D6729D">
            <w:pPr>
              <w:contextualSpacing/>
              <w:rPr>
                <w:rFonts w:ascii="Arial" w:hAnsi="Arial" w:cs="Arial"/>
                <w:bCs/>
                <w:iCs/>
              </w:rPr>
            </w:pPr>
          </w:p>
          <w:p w14:paraId="50257755" w14:textId="77777777" w:rsidR="00301C1E" w:rsidRDefault="00301C1E" w:rsidP="00897BF2">
            <w:pPr>
              <w:pStyle w:val="ListParagraph"/>
              <w:numPr>
                <w:ilvl w:val="0"/>
                <w:numId w:val="6"/>
              </w:numPr>
              <w:spacing w:after="0" w:line="240" w:lineRule="auto"/>
              <w:rPr>
                <w:rFonts w:ascii="Arial" w:hAnsi="Arial" w:cs="Arial"/>
                <w:bCs/>
                <w:iCs/>
              </w:rPr>
            </w:pPr>
            <w:r w:rsidRPr="00301C1E">
              <w:rPr>
                <w:rFonts w:ascii="Arial" w:hAnsi="Arial" w:cs="Arial"/>
                <w:bCs/>
                <w:iCs/>
              </w:rPr>
              <w:t>D</w:t>
            </w:r>
            <w:r w:rsidR="00AE0A74" w:rsidRPr="00301C1E">
              <w:rPr>
                <w:rFonts w:ascii="Arial" w:hAnsi="Arial" w:cs="Arial"/>
                <w:bCs/>
                <w:iCs/>
              </w:rPr>
              <w:t>ental Senior Team Meetings risk register</w:t>
            </w:r>
          </w:p>
          <w:p w14:paraId="5E342F7A" w14:textId="485FDF48" w:rsidR="00550756" w:rsidRPr="00301C1E" w:rsidRDefault="00301C1E" w:rsidP="00897BF2">
            <w:pPr>
              <w:pStyle w:val="ListParagraph"/>
              <w:numPr>
                <w:ilvl w:val="0"/>
                <w:numId w:val="6"/>
              </w:numPr>
              <w:spacing w:after="0" w:line="240" w:lineRule="auto"/>
              <w:rPr>
                <w:rFonts w:ascii="Arial" w:hAnsi="Arial" w:cs="Arial"/>
                <w:bCs/>
                <w:iCs/>
              </w:rPr>
            </w:pPr>
            <w:r w:rsidRPr="00301C1E">
              <w:rPr>
                <w:rFonts w:ascii="Arial" w:hAnsi="Arial" w:cs="Arial"/>
                <w:bCs/>
                <w:iCs/>
              </w:rPr>
              <w:t xml:space="preserve">The Specialty Training Committee and the Regional Committee for Specialty Training in Dentistry SW TVW minutes </w:t>
            </w:r>
          </w:p>
          <w:p w14:paraId="23BE1032" w14:textId="77777777" w:rsidR="00550756" w:rsidRPr="004C3601" w:rsidRDefault="00550756" w:rsidP="00D6729D">
            <w:pPr>
              <w:contextualSpacing/>
              <w:rPr>
                <w:rFonts w:ascii="Arial" w:hAnsi="Arial" w:cs="Arial"/>
                <w:bCs/>
                <w:iCs/>
              </w:rPr>
            </w:pPr>
          </w:p>
          <w:p w14:paraId="676185EB" w14:textId="57C3A7D8" w:rsidR="00AE0A74" w:rsidRPr="00711799" w:rsidRDefault="004C3601" w:rsidP="00D6729D">
            <w:pPr>
              <w:contextualSpacing/>
              <w:rPr>
                <w:rFonts w:ascii="Arial" w:hAnsi="Arial" w:cs="Arial"/>
                <w:bCs/>
                <w:iCs/>
                <w:color w:val="FF0000"/>
              </w:rPr>
            </w:pPr>
            <w:r w:rsidRPr="004C3601">
              <w:rPr>
                <w:rFonts w:ascii="Arial" w:hAnsi="Arial" w:cs="Arial"/>
                <w:bCs/>
                <w:iCs/>
                <w:color w:val="000000" w:themeColor="text1"/>
              </w:rPr>
              <w:t xml:space="preserve">The meeting minutes provided to us for both deaneries follow the same format, and each has a standing item "Issues being addressed". </w:t>
            </w:r>
            <w:r w:rsidR="00711799">
              <w:rPr>
                <w:rFonts w:ascii="Arial" w:hAnsi="Arial" w:cs="Arial"/>
                <w:bCs/>
                <w:iCs/>
                <w:color w:val="000000" w:themeColor="text1"/>
              </w:rPr>
              <w:t xml:space="preserve"> </w:t>
            </w:r>
            <w:r w:rsidR="00711799" w:rsidRPr="00711799">
              <w:rPr>
                <w:rFonts w:ascii="Arial" w:hAnsi="Arial" w:cs="Arial"/>
                <w:bCs/>
                <w:iCs/>
                <w:color w:val="000000" w:themeColor="text1"/>
              </w:rPr>
              <w:t xml:space="preserve">Representatives of </w:t>
            </w:r>
            <w:r w:rsidR="00301C1E">
              <w:rPr>
                <w:rFonts w:ascii="Arial" w:hAnsi="Arial" w:cs="Arial"/>
                <w:bCs/>
                <w:iCs/>
                <w:color w:val="000000" w:themeColor="text1"/>
              </w:rPr>
              <w:t>s</w:t>
            </w:r>
            <w:r w:rsidR="00711799" w:rsidRPr="00711799">
              <w:rPr>
                <w:rFonts w:ascii="Arial" w:hAnsi="Arial" w:cs="Arial"/>
                <w:bCs/>
                <w:iCs/>
                <w:color w:val="000000" w:themeColor="text1"/>
              </w:rPr>
              <w:t xml:space="preserve">pecialty </w:t>
            </w:r>
            <w:r w:rsidR="00301C1E">
              <w:rPr>
                <w:rFonts w:ascii="Arial" w:hAnsi="Arial" w:cs="Arial"/>
                <w:bCs/>
                <w:iCs/>
                <w:color w:val="000000" w:themeColor="text1"/>
              </w:rPr>
              <w:t>t</w:t>
            </w:r>
            <w:r w:rsidR="00711799" w:rsidRPr="00711799">
              <w:rPr>
                <w:rFonts w:ascii="Arial" w:hAnsi="Arial" w:cs="Arial"/>
                <w:bCs/>
                <w:iCs/>
                <w:color w:val="000000" w:themeColor="text1"/>
              </w:rPr>
              <w:t>rainees have the opportunity to attend and raise issues directly with the committee, which includes the PGDD.</w:t>
            </w:r>
          </w:p>
          <w:p w14:paraId="7048476D" w14:textId="1FE90F92" w:rsidR="00AE0A74" w:rsidRPr="004C3601" w:rsidRDefault="00AE0A74" w:rsidP="00D6729D">
            <w:pPr>
              <w:contextualSpacing/>
              <w:rPr>
                <w:rFonts w:ascii="Arial" w:hAnsi="Arial" w:cs="Arial"/>
                <w:bCs/>
                <w:iCs/>
              </w:rPr>
            </w:pPr>
          </w:p>
          <w:p w14:paraId="1017F958" w14:textId="582BFF0F" w:rsidR="00C006E3" w:rsidRPr="004C3601" w:rsidRDefault="00C006E3" w:rsidP="00AE0A74">
            <w:pPr>
              <w:contextualSpacing/>
              <w:rPr>
                <w:rFonts w:ascii="Arial" w:hAnsi="Arial" w:cs="Arial"/>
                <w:bCs/>
                <w:iCs/>
                <w:color w:val="000000" w:themeColor="text1"/>
              </w:rPr>
            </w:pPr>
            <w:r w:rsidRPr="004C3601">
              <w:rPr>
                <w:rFonts w:ascii="Arial" w:hAnsi="Arial" w:cs="Arial"/>
                <w:bCs/>
                <w:iCs/>
                <w:color w:val="000000" w:themeColor="text1"/>
              </w:rPr>
              <w:t>E</w:t>
            </w:r>
            <w:r w:rsidR="00AE0A74" w:rsidRPr="004C3601">
              <w:rPr>
                <w:rFonts w:ascii="Arial" w:hAnsi="Arial" w:cs="Arial"/>
                <w:bCs/>
                <w:iCs/>
                <w:color w:val="000000" w:themeColor="text1"/>
              </w:rPr>
              <w:t>vidence</w:t>
            </w:r>
            <w:r w:rsidRPr="004C3601">
              <w:rPr>
                <w:rFonts w:ascii="Arial" w:hAnsi="Arial" w:cs="Arial"/>
                <w:bCs/>
                <w:iCs/>
                <w:color w:val="000000" w:themeColor="text1"/>
              </w:rPr>
              <w:t xml:space="preserve"> was provided that confirms</w:t>
            </w:r>
            <w:r w:rsidR="00AE0A74" w:rsidRPr="004C3601">
              <w:rPr>
                <w:rFonts w:ascii="Arial" w:hAnsi="Arial" w:cs="Arial"/>
                <w:bCs/>
                <w:iCs/>
                <w:color w:val="000000" w:themeColor="text1"/>
              </w:rPr>
              <w:t xml:space="preserve"> that concerns are escalated to the PGDD and when they are sufficiently serious, they are entered on the risk register and kept under review.</w:t>
            </w:r>
            <w:r w:rsidRPr="004C3601">
              <w:rPr>
                <w:rFonts w:ascii="Arial" w:hAnsi="Arial" w:cs="Arial"/>
                <w:bCs/>
                <w:iCs/>
                <w:color w:val="FF0000"/>
              </w:rPr>
              <w:t xml:space="preserve"> </w:t>
            </w:r>
            <w:r w:rsidRPr="004C3601">
              <w:rPr>
                <w:rFonts w:ascii="Arial" w:hAnsi="Arial" w:cs="Arial"/>
                <w:bCs/>
                <w:iCs/>
                <w:color w:val="000000" w:themeColor="text1"/>
              </w:rPr>
              <w:t xml:space="preserve">In both SW and </w:t>
            </w:r>
            <w:r w:rsidR="00711799" w:rsidRPr="004C3601">
              <w:rPr>
                <w:rFonts w:ascii="Arial" w:hAnsi="Arial" w:cs="Arial"/>
                <w:bCs/>
                <w:iCs/>
                <w:color w:val="000000" w:themeColor="text1"/>
              </w:rPr>
              <w:t>TVW, meetings</w:t>
            </w:r>
            <w:r w:rsidRPr="004C3601">
              <w:rPr>
                <w:rFonts w:ascii="Arial" w:hAnsi="Arial" w:cs="Arial"/>
                <w:bCs/>
                <w:iCs/>
                <w:color w:val="000000" w:themeColor="text1"/>
              </w:rPr>
              <w:t xml:space="preserve"> are held monthly and the PGDD appears to have detailed knowledge of what is happening "on the ground".</w:t>
            </w:r>
          </w:p>
          <w:p w14:paraId="6114DEBC" w14:textId="78B1C8E8" w:rsidR="00C006E3" w:rsidRPr="004C3601" w:rsidRDefault="00C006E3" w:rsidP="00AE0A74">
            <w:pPr>
              <w:contextualSpacing/>
              <w:rPr>
                <w:rFonts w:ascii="Arial" w:hAnsi="Arial" w:cs="Arial"/>
                <w:bCs/>
                <w:iCs/>
                <w:color w:val="000000" w:themeColor="text1"/>
              </w:rPr>
            </w:pPr>
          </w:p>
          <w:p w14:paraId="57755AB9" w14:textId="4C37B659" w:rsidR="00C006E3" w:rsidRPr="004C3601" w:rsidRDefault="00C006E3" w:rsidP="00AE0A74">
            <w:pPr>
              <w:contextualSpacing/>
              <w:rPr>
                <w:rFonts w:ascii="Arial" w:hAnsi="Arial" w:cs="Arial"/>
                <w:bCs/>
                <w:iCs/>
                <w:color w:val="000000" w:themeColor="text1"/>
              </w:rPr>
            </w:pPr>
            <w:r w:rsidRPr="004C3601">
              <w:rPr>
                <w:rFonts w:ascii="Arial" w:hAnsi="Arial" w:cs="Arial"/>
                <w:bCs/>
                <w:iCs/>
                <w:color w:val="000000" w:themeColor="text1"/>
              </w:rPr>
              <w:t>The quality report</w:t>
            </w:r>
            <w:r w:rsidR="004C3601" w:rsidRPr="004C3601">
              <w:rPr>
                <w:rFonts w:ascii="Arial" w:hAnsi="Arial" w:cs="Arial"/>
                <w:bCs/>
                <w:iCs/>
                <w:color w:val="000000" w:themeColor="text1"/>
              </w:rPr>
              <w:t xml:space="preserve">s for both HEE SW and HEE TVW </w:t>
            </w:r>
            <w:r w:rsidRPr="004C3601">
              <w:rPr>
                <w:rFonts w:ascii="Arial" w:hAnsi="Arial" w:cs="Arial"/>
                <w:bCs/>
                <w:iCs/>
                <w:color w:val="000000" w:themeColor="text1"/>
              </w:rPr>
              <w:t>demonstrate that issues are escalated and addressed.</w:t>
            </w:r>
          </w:p>
          <w:p w14:paraId="7B888BF0" w14:textId="77777777" w:rsidR="004C3601" w:rsidRPr="004C3601" w:rsidRDefault="004C3601" w:rsidP="00AE0A74">
            <w:pPr>
              <w:contextualSpacing/>
              <w:rPr>
                <w:rFonts w:ascii="Arial" w:hAnsi="Arial" w:cs="Arial"/>
                <w:bCs/>
                <w:iCs/>
                <w:color w:val="FF0000"/>
              </w:rPr>
            </w:pPr>
          </w:p>
          <w:p w14:paraId="7706BCD0" w14:textId="080AE87B" w:rsidR="004C3601" w:rsidRDefault="004C3601" w:rsidP="00AE0A74">
            <w:pPr>
              <w:contextualSpacing/>
              <w:rPr>
                <w:rFonts w:ascii="Arial" w:hAnsi="Arial" w:cs="Arial"/>
                <w:bCs/>
                <w:iCs/>
                <w:color w:val="000000" w:themeColor="text1"/>
              </w:rPr>
            </w:pPr>
            <w:r w:rsidRPr="004C3601">
              <w:rPr>
                <w:rFonts w:ascii="Arial" w:hAnsi="Arial" w:cs="Arial"/>
                <w:bCs/>
                <w:iCs/>
                <w:color w:val="000000" w:themeColor="text1"/>
              </w:rPr>
              <w:t>We were provided with a document which</w:t>
            </w:r>
            <w:r w:rsidR="00AE0A74" w:rsidRPr="004C3601">
              <w:rPr>
                <w:rFonts w:ascii="Arial" w:hAnsi="Arial" w:cs="Arial"/>
                <w:bCs/>
                <w:iCs/>
                <w:color w:val="000000" w:themeColor="text1"/>
              </w:rPr>
              <w:t xml:space="preserve"> sets out clearly the terms of reference, including reporting responsibilities for the Quality Scrutiny Oversight Group for the SW. This includes reporting responsibilities from HEE SW and HEE TVW Quality Committees.</w:t>
            </w:r>
          </w:p>
          <w:p w14:paraId="25857673" w14:textId="0C1DE35C" w:rsidR="00301C1E" w:rsidRDefault="00301C1E" w:rsidP="00AE0A74">
            <w:pPr>
              <w:contextualSpacing/>
              <w:rPr>
                <w:rFonts w:ascii="Arial" w:hAnsi="Arial" w:cs="Arial"/>
                <w:bCs/>
                <w:iCs/>
                <w:color w:val="000000" w:themeColor="text1"/>
              </w:rPr>
            </w:pPr>
          </w:p>
          <w:p w14:paraId="71A80222" w14:textId="1967DCD2" w:rsidR="00301C1E" w:rsidRPr="004C3601" w:rsidRDefault="00301C1E" w:rsidP="00AE0A74">
            <w:pPr>
              <w:contextualSpacing/>
              <w:rPr>
                <w:rFonts w:ascii="Arial" w:hAnsi="Arial" w:cs="Arial"/>
                <w:bCs/>
                <w:iCs/>
                <w:color w:val="000000" w:themeColor="text1"/>
              </w:rPr>
            </w:pPr>
            <w:r>
              <w:rPr>
                <w:rFonts w:ascii="Arial" w:hAnsi="Arial" w:cs="Arial"/>
                <w:bCs/>
                <w:iCs/>
                <w:color w:val="000000" w:themeColor="text1"/>
              </w:rPr>
              <w:t xml:space="preserve">We consider this Requirement to be </w:t>
            </w:r>
            <w:r w:rsidRPr="00D8280A">
              <w:rPr>
                <w:rFonts w:ascii="Arial" w:hAnsi="Arial" w:cs="Arial"/>
                <w:b/>
                <w:iCs/>
                <w:color w:val="000000" w:themeColor="text1"/>
              </w:rPr>
              <w:t>met</w:t>
            </w:r>
            <w:r>
              <w:rPr>
                <w:rFonts w:ascii="Arial" w:hAnsi="Arial" w:cs="Arial"/>
                <w:bCs/>
                <w:iCs/>
                <w:color w:val="000000" w:themeColor="text1"/>
              </w:rPr>
              <w:t>.</w:t>
            </w:r>
          </w:p>
          <w:p w14:paraId="7857F8C0" w14:textId="690C0C93" w:rsidR="00AE0A74" w:rsidRDefault="00AE0A74" w:rsidP="00AE0A74">
            <w:pPr>
              <w:contextualSpacing/>
              <w:rPr>
                <w:rFonts w:ascii="Arial" w:hAnsi="Arial" w:cs="Arial"/>
                <w:bCs/>
                <w:iCs/>
                <w:color w:val="FF0000"/>
                <w:sz w:val="20"/>
                <w:szCs w:val="20"/>
              </w:rPr>
            </w:pPr>
          </w:p>
          <w:p w14:paraId="62F4EEA8" w14:textId="18FEB62C" w:rsidR="00412C14" w:rsidRDefault="005D5820" w:rsidP="00D6729D">
            <w:pPr>
              <w:contextualSpacing/>
              <w:rPr>
                <w:rFonts w:ascii="Arial" w:eastAsia="Calibri" w:hAnsi="Arial" w:cs="Arial"/>
                <w:b/>
                <w:iCs/>
                <w:color w:val="000000" w:themeColor="text1"/>
              </w:rPr>
            </w:pPr>
            <w:r>
              <w:rPr>
                <w:rFonts w:ascii="Arial" w:eastAsia="Calibri" w:hAnsi="Arial" w:cs="Arial"/>
                <w:b/>
                <w:color w:val="000000" w:themeColor="text1"/>
              </w:rPr>
              <w:t>P</w:t>
            </w:r>
            <w:r w:rsidR="00E2148E">
              <w:rPr>
                <w:rFonts w:ascii="Arial" w:eastAsia="Calibri" w:hAnsi="Arial" w:cs="Arial"/>
                <w:b/>
                <w:color w:val="000000" w:themeColor="text1"/>
              </w:rPr>
              <w:t xml:space="preserve">10: </w:t>
            </w:r>
            <w:r w:rsidR="00E67601" w:rsidRPr="00E67601">
              <w:rPr>
                <w:rFonts w:ascii="Arial" w:eastAsia="Calibri" w:hAnsi="Arial" w:cs="Arial"/>
                <w:b/>
                <w:iCs/>
                <w:color w:val="000000" w:themeColor="text1"/>
              </w:rPr>
              <w:t>Quality Frameworks must be subject to rigorous internal and external quality management procedures. External assessors must be utilised and must be familiar with GDC approved curriculum/latest learning outcomes and their context.</w:t>
            </w:r>
            <w:r w:rsidR="00E67601">
              <w:rPr>
                <w:rFonts w:ascii="Arial" w:eastAsia="Calibri" w:hAnsi="Arial" w:cs="Arial"/>
                <w:b/>
                <w:iCs/>
                <w:color w:val="000000" w:themeColor="text1"/>
              </w:rPr>
              <w:t xml:space="preserve"> </w:t>
            </w:r>
            <w:r w:rsidR="00EA58BF">
              <w:rPr>
                <w:rFonts w:ascii="Arial" w:eastAsia="Calibri" w:hAnsi="Arial" w:cs="Arial"/>
                <w:b/>
                <w:iCs/>
                <w:color w:val="000000" w:themeColor="text1"/>
              </w:rPr>
              <w:t>(</w:t>
            </w:r>
            <w:r w:rsidR="00E67601">
              <w:rPr>
                <w:rFonts w:ascii="Arial" w:eastAsia="Calibri" w:hAnsi="Arial" w:cs="Arial"/>
                <w:b/>
                <w:iCs/>
                <w:color w:val="000000" w:themeColor="text1"/>
              </w:rPr>
              <w:t xml:space="preserve">Requirement </w:t>
            </w:r>
            <w:r w:rsidR="008B466F" w:rsidRPr="0004225B">
              <w:rPr>
                <w:rFonts w:ascii="Arial" w:eastAsia="Calibri" w:hAnsi="Arial" w:cs="Arial"/>
                <w:b/>
                <w:iCs/>
                <w:color w:val="000000" w:themeColor="text1"/>
              </w:rPr>
              <w:t>Met</w:t>
            </w:r>
            <w:r w:rsidR="00E23D0B" w:rsidRPr="0004225B">
              <w:rPr>
                <w:rFonts w:ascii="Arial" w:eastAsia="Calibri" w:hAnsi="Arial" w:cs="Arial"/>
                <w:b/>
                <w:iCs/>
                <w:color w:val="000000" w:themeColor="text1"/>
              </w:rPr>
              <w:t>)</w:t>
            </w:r>
            <w:r w:rsidR="00E67601" w:rsidRPr="0004225B">
              <w:rPr>
                <w:rFonts w:ascii="Arial" w:eastAsia="Calibri" w:hAnsi="Arial" w:cs="Arial"/>
                <w:b/>
                <w:iCs/>
                <w:color w:val="000000" w:themeColor="text1"/>
              </w:rPr>
              <w:t>.</w:t>
            </w:r>
          </w:p>
          <w:p w14:paraId="7E9F7B5E" w14:textId="0EAE9903" w:rsidR="00711799" w:rsidRDefault="00711799" w:rsidP="00D6729D">
            <w:pPr>
              <w:contextualSpacing/>
              <w:rPr>
                <w:rFonts w:ascii="Arial" w:eastAsia="Calibri" w:hAnsi="Arial" w:cs="Arial"/>
                <w:b/>
                <w:iCs/>
                <w:color w:val="000000" w:themeColor="text1"/>
              </w:rPr>
            </w:pPr>
          </w:p>
          <w:p w14:paraId="5B30B44C" w14:textId="27F03FB9" w:rsidR="00711799" w:rsidRDefault="00711799" w:rsidP="00D6729D">
            <w:pPr>
              <w:contextualSpacing/>
              <w:rPr>
                <w:rFonts w:ascii="Arial" w:eastAsia="Calibri" w:hAnsi="Arial" w:cs="Arial"/>
                <w:b/>
                <w:iCs/>
                <w:color w:val="000000" w:themeColor="text1"/>
              </w:rPr>
            </w:pPr>
            <w:r w:rsidRPr="00AE0A74">
              <w:rPr>
                <w:rFonts w:ascii="Arial" w:eastAsia="Calibri" w:hAnsi="Arial" w:cs="Arial"/>
                <w:bCs/>
                <w:color w:val="000000" w:themeColor="text1"/>
              </w:rPr>
              <w:t>The narrative provided</w:t>
            </w:r>
            <w:r>
              <w:rPr>
                <w:rFonts w:ascii="Arial" w:eastAsia="Calibri" w:hAnsi="Arial" w:cs="Arial"/>
                <w:bCs/>
                <w:color w:val="000000" w:themeColor="text1"/>
              </w:rPr>
              <w:t xml:space="preserve"> in the self-assessment</w:t>
            </w:r>
            <w:r w:rsidRPr="00AE0A74">
              <w:rPr>
                <w:rFonts w:ascii="Arial" w:eastAsia="Calibri" w:hAnsi="Arial" w:cs="Arial"/>
                <w:bCs/>
                <w:color w:val="000000" w:themeColor="text1"/>
              </w:rPr>
              <w:t xml:space="preserve"> </w:t>
            </w:r>
            <w:r>
              <w:rPr>
                <w:rFonts w:ascii="Arial" w:eastAsia="Calibri" w:hAnsi="Arial" w:cs="Arial"/>
                <w:bCs/>
                <w:color w:val="000000" w:themeColor="text1"/>
              </w:rPr>
              <w:t xml:space="preserve">is </w:t>
            </w:r>
            <w:r w:rsidRPr="00AE0A74">
              <w:rPr>
                <w:rFonts w:ascii="Arial" w:eastAsia="Calibri" w:hAnsi="Arial" w:cs="Arial"/>
                <w:bCs/>
                <w:color w:val="000000" w:themeColor="text1"/>
              </w:rPr>
              <w:t xml:space="preserve">clear and the documentation referred to supports the </w:t>
            </w:r>
            <w:r w:rsidR="000E5A0F" w:rsidRPr="00AE0A74">
              <w:rPr>
                <w:rFonts w:ascii="Arial" w:eastAsia="Calibri" w:hAnsi="Arial" w:cs="Arial"/>
                <w:bCs/>
                <w:color w:val="000000" w:themeColor="text1"/>
              </w:rPr>
              <w:t>requirement.</w:t>
            </w:r>
          </w:p>
          <w:p w14:paraId="6613CCB0" w14:textId="77777777" w:rsidR="00711799" w:rsidRDefault="00711799" w:rsidP="00D6729D">
            <w:pPr>
              <w:contextualSpacing/>
              <w:rPr>
                <w:rFonts w:ascii="Arial" w:eastAsia="Calibri" w:hAnsi="Arial" w:cs="Arial"/>
                <w:b/>
                <w:iCs/>
                <w:color w:val="000000" w:themeColor="text1"/>
              </w:rPr>
            </w:pPr>
          </w:p>
          <w:p w14:paraId="48EF121B" w14:textId="0C41C131" w:rsidR="00711799" w:rsidRDefault="00711799" w:rsidP="00D6729D">
            <w:pPr>
              <w:contextualSpacing/>
              <w:rPr>
                <w:rFonts w:ascii="Arial" w:eastAsia="Calibri" w:hAnsi="Arial" w:cs="Arial"/>
                <w:bCs/>
                <w:color w:val="000000" w:themeColor="text1"/>
              </w:rPr>
            </w:pPr>
            <w:r>
              <w:rPr>
                <w:rFonts w:ascii="Arial" w:eastAsia="Calibri" w:hAnsi="Arial" w:cs="Arial"/>
                <w:bCs/>
                <w:color w:val="000000" w:themeColor="text1"/>
              </w:rPr>
              <w:t xml:space="preserve">The </w:t>
            </w:r>
            <w:r w:rsidR="00AE0A74" w:rsidRPr="00AE0A74">
              <w:rPr>
                <w:rFonts w:ascii="Arial" w:eastAsia="Calibri" w:hAnsi="Arial" w:cs="Arial"/>
                <w:bCs/>
                <w:color w:val="000000" w:themeColor="text1"/>
              </w:rPr>
              <w:t>HEE Quality Framework</w:t>
            </w:r>
            <w:r>
              <w:rPr>
                <w:rFonts w:ascii="Arial" w:eastAsia="Calibri" w:hAnsi="Arial" w:cs="Arial"/>
                <w:bCs/>
                <w:color w:val="000000" w:themeColor="text1"/>
              </w:rPr>
              <w:t xml:space="preserve"> is a</w:t>
            </w:r>
            <w:r w:rsidR="00AE0A74" w:rsidRPr="00AE0A74">
              <w:rPr>
                <w:rFonts w:ascii="Arial" w:eastAsia="Calibri" w:hAnsi="Arial" w:cs="Arial"/>
                <w:bCs/>
                <w:color w:val="000000" w:themeColor="text1"/>
              </w:rPr>
              <w:t xml:space="preserve"> nationally developed document </w:t>
            </w:r>
            <w:r>
              <w:rPr>
                <w:rFonts w:ascii="Arial" w:eastAsia="Calibri" w:hAnsi="Arial" w:cs="Arial"/>
                <w:bCs/>
                <w:color w:val="000000" w:themeColor="text1"/>
              </w:rPr>
              <w:t xml:space="preserve">which </w:t>
            </w:r>
            <w:r w:rsidRPr="00AE0A74">
              <w:rPr>
                <w:rFonts w:ascii="Arial" w:eastAsia="Calibri" w:hAnsi="Arial" w:cs="Arial"/>
                <w:bCs/>
                <w:color w:val="000000" w:themeColor="text1"/>
              </w:rPr>
              <w:t xml:space="preserve">details </w:t>
            </w:r>
            <w:r>
              <w:rPr>
                <w:rFonts w:ascii="Arial" w:eastAsia="Calibri" w:hAnsi="Arial" w:cs="Arial"/>
                <w:bCs/>
                <w:color w:val="000000" w:themeColor="text1"/>
              </w:rPr>
              <w:t xml:space="preserve">the </w:t>
            </w:r>
            <w:r w:rsidR="00AE0A74" w:rsidRPr="00AE0A74">
              <w:rPr>
                <w:rFonts w:ascii="Arial" w:eastAsia="Calibri" w:hAnsi="Arial" w:cs="Arial"/>
                <w:bCs/>
                <w:color w:val="000000" w:themeColor="text1"/>
              </w:rPr>
              <w:t xml:space="preserve">framework to support the Quality </w:t>
            </w:r>
            <w:r w:rsidR="000E5A0F">
              <w:rPr>
                <w:rFonts w:ascii="Arial" w:eastAsia="Calibri" w:hAnsi="Arial" w:cs="Arial"/>
                <w:bCs/>
                <w:color w:val="000000" w:themeColor="text1"/>
              </w:rPr>
              <w:t>f</w:t>
            </w:r>
            <w:r w:rsidR="00AE0A74" w:rsidRPr="00AE0A74">
              <w:rPr>
                <w:rFonts w:ascii="Arial" w:eastAsia="Calibri" w:hAnsi="Arial" w:cs="Arial"/>
                <w:bCs/>
                <w:color w:val="000000" w:themeColor="text1"/>
              </w:rPr>
              <w:t>unction by collaboration between</w:t>
            </w:r>
            <w:r w:rsidR="00455F12">
              <w:rPr>
                <w:rFonts w:ascii="Arial" w:eastAsia="Calibri" w:hAnsi="Arial" w:cs="Arial"/>
                <w:bCs/>
                <w:color w:val="000000" w:themeColor="text1"/>
              </w:rPr>
              <w:t xml:space="preserve"> </w:t>
            </w:r>
            <w:r w:rsidR="009E27F0">
              <w:rPr>
                <w:rFonts w:ascii="Arial" w:eastAsia="Calibri" w:hAnsi="Arial" w:cs="Arial"/>
                <w:bCs/>
                <w:color w:val="000000" w:themeColor="text1"/>
              </w:rPr>
              <w:t>educational</w:t>
            </w:r>
            <w:r w:rsidR="00AE0A74" w:rsidRPr="00AE0A74">
              <w:rPr>
                <w:rFonts w:ascii="Arial" w:eastAsia="Calibri" w:hAnsi="Arial" w:cs="Arial"/>
                <w:bCs/>
                <w:color w:val="000000" w:themeColor="text1"/>
              </w:rPr>
              <w:t xml:space="preserve"> providers</w:t>
            </w:r>
            <w:r w:rsidR="005300FF">
              <w:rPr>
                <w:rFonts w:ascii="Arial" w:eastAsia="Calibri" w:hAnsi="Arial" w:cs="Arial"/>
                <w:bCs/>
                <w:color w:val="000000" w:themeColor="text1"/>
              </w:rPr>
              <w:t>,</w:t>
            </w:r>
            <w:r w:rsidR="00AE0A74" w:rsidRPr="00AE0A74">
              <w:rPr>
                <w:rFonts w:ascii="Arial" w:eastAsia="Calibri" w:hAnsi="Arial" w:cs="Arial"/>
                <w:bCs/>
                <w:color w:val="000000" w:themeColor="text1"/>
              </w:rPr>
              <w:t xml:space="preserve"> outlined in</w:t>
            </w:r>
            <w:r>
              <w:rPr>
                <w:rFonts w:ascii="Arial" w:eastAsia="Calibri" w:hAnsi="Arial" w:cs="Arial"/>
                <w:bCs/>
                <w:color w:val="000000" w:themeColor="text1"/>
              </w:rPr>
              <w:t xml:space="preserve"> the</w:t>
            </w:r>
            <w:r w:rsidR="00AE0A74" w:rsidRPr="00AE0A74">
              <w:rPr>
                <w:rFonts w:ascii="Arial" w:eastAsia="Calibri" w:hAnsi="Arial" w:cs="Arial"/>
                <w:bCs/>
                <w:color w:val="000000" w:themeColor="text1"/>
              </w:rPr>
              <w:t xml:space="preserve"> National HEE Quality Handbook.</w:t>
            </w:r>
            <w:r>
              <w:rPr>
                <w:rFonts w:ascii="Arial" w:eastAsia="Calibri" w:hAnsi="Arial" w:cs="Arial"/>
                <w:bCs/>
                <w:color w:val="000000" w:themeColor="text1"/>
              </w:rPr>
              <w:t xml:space="preserve"> The </w:t>
            </w:r>
            <w:r w:rsidRPr="00AE0A74">
              <w:rPr>
                <w:rFonts w:ascii="Arial" w:eastAsia="Calibri" w:hAnsi="Arial" w:cs="Arial"/>
                <w:bCs/>
                <w:color w:val="000000" w:themeColor="text1"/>
              </w:rPr>
              <w:t>HEE Quality Handbook describes quality management systems and processes by which HEE evaluate, assess risks, manage and improve quality.</w:t>
            </w:r>
            <w:r>
              <w:rPr>
                <w:rFonts w:ascii="Arial" w:eastAsia="Calibri" w:hAnsi="Arial" w:cs="Arial"/>
                <w:bCs/>
                <w:color w:val="000000" w:themeColor="text1"/>
              </w:rPr>
              <w:t xml:space="preserve"> </w:t>
            </w:r>
          </w:p>
          <w:p w14:paraId="730BCE86" w14:textId="26FEEFFB" w:rsidR="00711799" w:rsidRDefault="00711799" w:rsidP="00D6729D">
            <w:pPr>
              <w:contextualSpacing/>
              <w:rPr>
                <w:rFonts w:ascii="Arial" w:eastAsia="Calibri" w:hAnsi="Arial" w:cs="Arial"/>
                <w:bCs/>
                <w:color w:val="000000" w:themeColor="text1"/>
              </w:rPr>
            </w:pPr>
          </w:p>
          <w:p w14:paraId="1D49290E" w14:textId="5B81C13E" w:rsidR="00711799" w:rsidRPr="005300FF" w:rsidRDefault="00711799" w:rsidP="00D6729D">
            <w:pPr>
              <w:contextualSpacing/>
              <w:rPr>
                <w:rFonts w:ascii="Arial" w:eastAsia="Calibri" w:hAnsi="Arial" w:cs="Arial"/>
                <w:bCs/>
                <w:color w:val="000000" w:themeColor="text1"/>
              </w:rPr>
            </w:pPr>
            <w:r w:rsidRPr="005300FF">
              <w:rPr>
                <w:rFonts w:ascii="Arial" w:eastAsia="Calibri" w:hAnsi="Arial" w:cs="Arial"/>
                <w:bCs/>
                <w:color w:val="000000" w:themeColor="text1"/>
              </w:rPr>
              <w:t>Internal and external quality management procedures appear to be rigorous and robust</w:t>
            </w:r>
            <w:r w:rsidR="000E5A0F">
              <w:rPr>
                <w:rFonts w:ascii="Arial" w:eastAsia="Calibri" w:hAnsi="Arial" w:cs="Arial"/>
                <w:bCs/>
                <w:color w:val="000000" w:themeColor="text1"/>
              </w:rPr>
              <w:t>.</w:t>
            </w:r>
          </w:p>
          <w:p w14:paraId="0AEFA88E" w14:textId="1579CF95" w:rsidR="005300FF" w:rsidRPr="005300FF" w:rsidRDefault="00AE0A74" w:rsidP="00D6729D">
            <w:pPr>
              <w:contextualSpacing/>
              <w:rPr>
                <w:rFonts w:ascii="Arial" w:eastAsia="Calibri" w:hAnsi="Arial" w:cs="Arial"/>
                <w:bCs/>
                <w:color w:val="000000" w:themeColor="text1"/>
              </w:rPr>
            </w:pPr>
            <w:r w:rsidRPr="005300FF">
              <w:rPr>
                <w:rFonts w:ascii="Arial" w:eastAsia="Calibri" w:hAnsi="Arial" w:cs="Arial"/>
                <w:bCs/>
                <w:color w:val="000000" w:themeColor="text1"/>
              </w:rPr>
              <w:t>Internal management</w:t>
            </w:r>
            <w:r w:rsidR="005300FF" w:rsidRPr="005300FF">
              <w:rPr>
                <w:rFonts w:ascii="Arial" w:eastAsia="Calibri" w:hAnsi="Arial" w:cs="Arial"/>
                <w:bCs/>
                <w:color w:val="000000" w:themeColor="text1"/>
              </w:rPr>
              <w:t xml:space="preserve"> is</w:t>
            </w:r>
            <w:r w:rsidRPr="005300FF">
              <w:rPr>
                <w:rFonts w:ascii="Arial" w:eastAsia="Calibri" w:hAnsi="Arial" w:cs="Arial"/>
                <w:bCs/>
                <w:color w:val="000000" w:themeColor="text1"/>
              </w:rPr>
              <w:t xml:space="preserve"> led by</w:t>
            </w:r>
            <w:r w:rsidR="005300FF" w:rsidRPr="005300FF">
              <w:rPr>
                <w:rFonts w:ascii="Arial" w:eastAsia="Calibri" w:hAnsi="Arial" w:cs="Arial"/>
                <w:bCs/>
                <w:color w:val="000000" w:themeColor="text1"/>
              </w:rPr>
              <w:t xml:space="preserve"> the </w:t>
            </w:r>
            <w:r w:rsidR="000E5A0F">
              <w:rPr>
                <w:rFonts w:ascii="Arial" w:eastAsia="Calibri" w:hAnsi="Arial" w:cs="Arial"/>
                <w:bCs/>
                <w:color w:val="000000" w:themeColor="text1"/>
              </w:rPr>
              <w:t>PGDD</w:t>
            </w:r>
            <w:r w:rsidRPr="005300FF">
              <w:rPr>
                <w:rFonts w:ascii="Arial" w:eastAsia="Calibri" w:hAnsi="Arial" w:cs="Arial"/>
                <w:bCs/>
                <w:color w:val="000000" w:themeColor="text1"/>
              </w:rPr>
              <w:t xml:space="preserve"> in conjunction with the Quality Team</w:t>
            </w:r>
            <w:r w:rsidR="005300FF" w:rsidRPr="005300FF">
              <w:rPr>
                <w:rFonts w:ascii="Arial" w:eastAsia="Calibri" w:hAnsi="Arial" w:cs="Arial"/>
                <w:bCs/>
                <w:color w:val="000000" w:themeColor="text1"/>
              </w:rPr>
              <w:t>.</w:t>
            </w:r>
            <w:r w:rsidRPr="005300FF">
              <w:rPr>
                <w:rFonts w:ascii="Arial" w:eastAsia="Calibri" w:hAnsi="Arial" w:cs="Arial"/>
                <w:bCs/>
                <w:color w:val="000000" w:themeColor="text1"/>
              </w:rPr>
              <w:t xml:space="preserve"> </w:t>
            </w:r>
            <w:r w:rsidR="005300FF" w:rsidRPr="005300FF">
              <w:rPr>
                <w:rFonts w:ascii="Arial" w:eastAsia="Calibri" w:hAnsi="Arial" w:cs="Arial"/>
                <w:bCs/>
                <w:color w:val="000000" w:themeColor="text1"/>
              </w:rPr>
              <w:t>C</w:t>
            </w:r>
            <w:r w:rsidRPr="005300FF">
              <w:rPr>
                <w:rFonts w:ascii="Arial" w:eastAsia="Calibri" w:hAnsi="Arial" w:cs="Arial"/>
                <w:bCs/>
                <w:color w:val="000000" w:themeColor="text1"/>
              </w:rPr>
              <w:t xml:space="preserve">oncerns </w:t>
            </w:r>
            <w:r w:rsidR="005300FF" w:rsidRPr="005300FF">
              <w:rPr>
                <w:rFonts w:ascii="Arial" w:eastAsia="Calibri" w:hAnsi="Arial" w:cs="Arial"/>
                <w:bCs/>
                <w:color w:val="000000" w:themeColor="text1"/>
              </w:rPr>
              <w:t>are</w:t>
            </w:r>
            <w:r w:rsidRPr="005300FF">
              <w:rPr>
                <w:rFonts w:ascii="Arial" w:eastAsia="Calibri" w:hAnsi="Arial" w:cs="Arial"/>
                <w:bCs/>
                <w:color w:val="000000" w:themeColor="text1"/>
              </w:rPr>
              <w:t xml:space="preserve"> discussed with dental education and senior teams at Trusts to monitor and resolve issues via </w:t>
            </w:r>
            <w:r w:rsidR="000E5A0F">
              <w:rPr>
                <w:rFonts w:ascii="Arial" w:eastAsia="Calibri" w:hAnsi="Arial" w:cs="Arial"/>
                <w:bCs/>
                <w:color w:val="000000" w:themeColor="text1"/>
              </w:rPr>
              <w:t xml:space="preserve">a </w:t>
            </w:r>
            <w:r w:rsidRPr="005300FF">
              <w:rPr>
                <w:rFonts w:ascii="Arial" w:eastAsia="Calibri" w:hAnsi="Arial" w:cs="Arial"/>
                <w:bCs/>
                <w:color w:val="000000" w:themeColor="text1"/>
              </w:rPr>
              <w:lastRenderedPageBreak/>
              <w:t>standard joint approach</w:t>
            </w:r>
            <w:r w:rsidR="005300FF" w:rsidRPr="005300FF">
              <w:rPr>
                <w:rFonts w:ascii="Arial" w:eastAsia="Calibri" w:hAnsi="Arial" w:cs="Arial"/>
                <w:bCs/>
                <w:color w:val="000000" w:themeColor="text1"/>
              </w:rPr>
              <w:t xml:space="preserve">. </w:t>
            </w:r>
            <w:r w:rsidRPr="005300FF">
              <w:rPr>
                <w:rFonts w:ascii="Arial" w:eastAsia="Calibri" w:hAnsi="Arial" w:cs="Arial"/>
                <w:bCs/>
                <w:color w:val="000000" w:themeColor="text1"/>
              </w:rPr>
              <w:t xml:space="preserve">Minutes of these meetings and quality reports confirm regular oversight. </w:t>
            </w:r>
          </w:p>
          <w:p w14:paraId="5F916656" w14:textId="77777777" w:rsidR="005300FF" w:rsidRDefault="005300FF" w:rsidP="00D6729D">
            <w:pPr>
              <w:contextualSpacing/>
              <w:rPr>
                <w:rFonts w:ascii="Arial" w:eastAsia="Calibri" w:hAnsi="Arial" w:cs="Arial"/>
                <w:bCs/>
                <w:color w:val="FF0000"/>
              </w:rPr>
            </w:pPr>
          </w:p>
          <w:p w14:paraId="52F672B1" w14:textId="77777777" w:rsidR="000E5A0F" w:rsidRDefault="005300FF" w:rsidP="00AE0A74">
            <w:pPr>
              <w:contextualSpacing/>
              <w:rPr>
                <w:rFonts w:ascii="Arial" w:eastAsia="Calibri" w:hAnsi="Arial" w:cs="Arial"/>
                <w:bCs/>
                <w:color w:val="000000" w:themeColor="text1"/>
              </w:rPr>
            </w:pPr>
            <w:r w:rsidRPr="005300FF">
              <w:rPr>
                <w:rFonts w:ascii="Arial" w:eastAsia="Calibri" w:hAnsi="Arial" w:cs="Arial"/>
                <w:bCs/>
                <w:color w:val="000000" w:themeColor="text1"/>
              </w:rPr>
              <w:t xml:space="preserve">Evidence provided demonstrates involvement and scrutiny of ARCPs by external lay and specialty panel members. </w:t>
            </w:r>
            <w:r w:rsidR="00AE0A74" w:rsidRPr="005300FF">
              <w:rPr>
                <w:rFonts w:ascii="Arial" w:eastAsia="Calibri" w:hAnsi="Arial" w:cs="Arial"/>
                <w:bCs/>
                <w:color w:val="000000" w:themeColor="text1"/>
              </w:rPr>
              <w:t xml:space="preserve">SAC external </w:t>
            </w:r>
            <w:r w:rsidRPr="005300FF">
              <w:rPr>
                <w:rFonts w:ascii="Arial" w:eastAsia="Calibri" w:hAnsi="Arial" w:cs="Arial"/>
                <w:bCs/>
                <w:color w:val="000000" w:themeColor="text1"/>
              </w:rPr>
              <w:t>reports provide</w:t>
            </w:r>
            <w:r w:rsidR="00AE0A74" w:rsidRPr="005300FF">
              <w:rPr>
                <w:rFonts w:ascii="Arial" w:eastAsia="Calibri" w:hAnsi="Arial" w:cs="Arial"/>
                <w:bCs/>
                <w:color w:val="000000" w:themeColor="text1"/>
              </w:rPr>
              <w:t xml:space="preserve"> reassurance of development against the GDC curriculum via standard reporting templates.</w:t>
            </w:r>
            <w:r>
              <w:rPr>
                <w:rFonts w:ascii="Arial" w:eastAsia="Calibri" w:hAnsi="Arial" w:cs="Arial"/>
                <w:bCs/>
                <w:color w:val="000000" w:themeColor="text1"/>
              </w:rPr>
              <w:t xml:space="preserve"> </w:t>
            </w:r>
            <w:r w:rsidR="00AE0A74" w:rsidRPr="005300FF">
              <w:rPr>
                <w:rFonts w:ascii="Arial" w:eastAsia="Calibri" w:hAnsi="Arial" w:cs="Arial"/>
                <w:bCs/>
                <w:color w:val="000000" w:themeColor="text1"/>
              </w:rPr>
              <w:t xml:space="preserve">The external SAC members rated the process and quality of training as </w:t>
            </w:r>
            <w:r w:rsidR="000E5A0F" w:rsidRPr="005300FF">
              <w:rPr>
                <w:rFonts w:ascii="Arial" w:eastAsia="Calibri" w:hAnsi="Arial" w:cs="Arial"/>
                <w:bCs/>
                <w:color w:val="000000" w:themeColor="text1"/>
              </w:rPr>
              <w:t>either “</w:t>
            </w:r>
            <w:r w:rsidR="00AE0A74" w:rsidRPr="005300FF">
              <w:rPr>
                <w:rFonts w:ascii="Arial" w:eastAsia="Calibri" w:hAnsi="Arial" w:cs="Arial"/>
                <w:bCs/>
                <w:color w:val="000000" w:themeColor="text1"/>
              </w:rPr>
              <w:t xml:space="preserve">excellent" or "above average". </w:t>
            </w:r>
          </w:p>
          <w:p w14:paraId="74385986" w14:textId="77777777" w:rsidR="000E5A0F" w:rsidRDefault="000E5A0F" w:rsidP="00AE0A74">
            <w:pPr>
              <w:contextualSpacing/>
              <w:rPr>
                <w:rFonts w:ascii="Arial" w:eastAsia="Calibri" w:hAnsi="Arial" w:cs="Arial"/>
                <w:bCs/>
                <w:color w:val="000000" w:themeColor="text1"/>
              </w:rPr>
            </w:pPr>
          </w:p>
          <w:p w14:paraId="6D38A0E4" w14:textId="5E6B126E" w:rsidR="005300FF" w:rsidRPr="000E5A0F" w:rsidRDefault="001178E0" w:rsidP="00AE0A74">
            <w:pPr>
              <w:contextualSpacing/>
              <w:rPr>
                <w:rFonts w:ascii="Arial" w:eastAsia="Calibri" w:hAnsi="Arial" w:cs="Arial"/>
                <w:bCs/>
                <w:color w:val="000000" w:themeColor="text1"/>
              </w:rPr>
            </w:pPr>
            <w:r w:rsidRPr="001178E0">
              <w:rPr>
                <w:rFonts w:ascii="Arial" w:eastAsia="Calibri" w:hAnsi="Arial" w:cs="Arial"/>
                <w:bCs/>
                <w:color w:val="000000" w:themeColor="text1"/>
              </w:rPr>
              <w:t>ARCP</w:t>
            </w:r>
            <w:r w:rsidR="003A7F97">
              <w:rPr>
                <w:rFonts w:ascii="Arial" w:eastAsia="Calibri" w:hAnsi="Arial" w:cs="Arial"/>
                <w:bCs/>
                <w:color w:val="000000" w:themeColor="text1"/>
              </w:rPr>
              <w:t xml:space="preserve"> meetings</w:t>
            </w:r>
            <w:r w:rsidRPr="001178E0">
              <w:rPr>
                <w:rFonts w:ascii="Arial" w:eastAsia="Calibri" w:hAnsi="Arial" w:cs="Arial"/>
                <w:bCs/>
                <w:color w:val="000000" w:themeColor="text1"/>
              </w:rPr>
              <w:t xml:space="preserve"> at both SW and TVW constituted </w:t>
            </w:r>
            <w:r w:rsidR="00135045">
              <w:rPr>
                <w:rFonts w:ascii="Arial" w:eastAsia="Calibri" w:hAnsi="Arial" w:cs="Arial"/>
                <w:bCs/>
                <w:color w:val="000000" w:themeColor="text1"/>
              </w:rPr>
              <w:t xml:space="preserve">both external SAC and </w:t>
            </w:r>
            <w:r w:rsidRPr="001178E0">
              <w:rPr>
                <w:rFonts w:ascii="Arial" w:eastAsia="Calibri" w:hAnsi="Arial" w:cs="Arial"/>
                <w:bCs/>
                <w:color w:val="000000" w:themeColor="text1"/>
              </w:rPr>
              <w:t>Lay</w:t>
            </w:r>
            <w:r w:rsidR="003A7F97">
              <w:rPr>
                <w:rFonts w:ascii="Arial" w:eastAsia="Calibri" w:hAnsi="Arial" w:cs="Arial"/>
                <w:bCs/>
                <w:color w:val="000000" w:themeColor="text1"/>
              </w:rPr>
              <w:t xml:space="preserve"> panel members, all of whom provided</w:t>
            </w:r>
            <w:r w:rsidRPr="001178E0">
              <w:rPr>
                <w:rFonts w:ascii="Arial" w:eastAsia="Calibri" w:hAnsi="Arial" w:cs="Arial"/>
                <w:bCs/>
                <w:color w:val="000000" w:themeColor="text1"/>
              </w:rPr>
              <w:t xml:space="preserve"> feedback. It appears that Lay members of the panel had access to trainees in TVW, which seems to be good practice, but not in SW. </w:t>
            </w:r>
            <w:r w:rsidR="00AE0A74" w:rsidRPr="005300FF">
              <w:rPr>
                <w:rFonts w:ascii="Arial" w:eastAsia="Calibri" w:hAnsi="Arial" w:cs="Arial"/>
                <w:bCs/>
                <w:color w:val="000000" w:themeColor="text1"/>
              </w:rPr>
              <w:t xml:space="preserve">There is also evidence of scrutiny on a quarterly basis. The Quality Reports by the PGDD from SW and from TVW </w:t>
            </w:r>
            <w:r w:rsidR="005300FF" w:rsidRPr="005300FF">
              <w:rPr>
                <w:rFonts w:ascii="Arial" w:eastAsia="Calibri" w:hAnsi="Arial" w:cs="Arial"/>
                <w:bCs/>
                <w:color w:val="000000" w:themeColor="text1"/>
              </w:rPr>
              <w:t>are detailed</w:t>
            </w:r>
            <w:r w:rsidR="005300FF">
              <w:rPr>
                <w:rFonts w:ascii="Arial" w:eastAsia="Calibri" w:hAnsi="Arial" w:cs="Arial"/>
                <w:bCs/>
                <w:color w:val="000000" w:themeColor="text1"/>
              </w:rPr>
              <w:t>.</w:t>
            </w:r>
          </w:p>
          <w:p w14:paraId="6AB26907" w14:textId="77777777" w:rsidR="005300FF" w:rsidRDefault="005300FF" w:rsidP="00AE0A74">
            <w:pPr>
              <w:contextualSpacing/>
              <w:rPr>
                <w:rFonts w:ascii="Arial" w:eastAsia="Calibri" w:hAnsi="Arial" w:cs="Arial"/>
                <w:bCs/>
                <w:color w:val="FF0000"/>
              </w:rPr>
            </w:pPr>
          </w:p>
          <w:p w14:paraId="1F863516" w14:textId="1745349A" w:rsidR="00AE0A74" w:rsidRDefault="00AE0A74" w:rsidP="00AE0A74">
            <w:pPr>
              <w:contextualSpacing/>
              <w:rPr>
                <w:rFonts w:ascii="Arial" w:eastAsia="Calibri" w:hAnsi="Arial" w:cs="Arial"/>
                <w:bCs/>
                <w:color w:val="000000" w:themeColor="text1"/>
              </w:rPr>
            </w:pPr>
            <w:r w:rsidRPr="001178E0">
              <w:rPr>
                <w:rFonts w:ascii="Arial" w:eastAsia="Calibri" w:hAnsi="Arial" w:cs="Arial"/>
                <w:bCs/>
                <w:color w:val="000000" w:themeColor="text1"/>
              </w:rPr>
              <w:t xml:space="preserve">The Specialty Training Committee </w:t>
            </w:r>
            <w:r w:rsidR="006619AB">
              <w:rPr>
                <w:rFonts w:ascii="Arial" w:eastAsia="Calibri" w:hAnsi="Arial" w:cs="Arial"/>
                <w:bCs/>
                <w:color w:val="000000" w:themeColor="text1"/>
              </w:rPr>
              <w:t>(STC)</w:t>
            </w:r>
            <w:r w:rsidR="00D8280A">
              <w:rPr>
                <w:rFonts w:ascii="Arial" w:eastAsia="Calibri" w:hAnsi="Arial" w:cs="Arial"/>
                <w:bCs/>
                <w:color w:val="000000" w:themeColor="text1"/>
              </w:rPr>
              <w:t xml:space="preserve"> </w:t>
            </w:r>
            <w:r w:rsidRPr="001178E0">
              <w:rPr>
                <w:rFonts w:ascii="Arial" w:eastAsia="Calibri" w:hAnsi="Arial" w:cs="Arial"/>
                <w:bCs/>
                <w:color w:val="000000" w:themeColor="text1"/>
              </w:rPr>
              <w:t>report</w:t>
            </w:r>
            <w:r w:rsidR="008B4AD1">
              <w:rPr>
                <w:rFonts w:ascii="Arial" w:eastAsia="Calibri" w:hAnsi="Arial" w:cs="Arial"/>
                <w:bCs/>
                <w:color w:val="000000" w:themeColor="text1"/>
              </w:rPr>
              <w:t>s</w:t>
            </w:r>
            <w:r w:rsidRPr="001178E0">
              <w:rPr>
                <w:rFonts w:ascii="Arial" w:eastAsia="Calibri" w:hAnsi="Arial" w:cs="Arial"/>
                <w:bCs/>
                <w:color w:val="000000" w:themeColor="text1"/>
              </w:rPr>
              <w:t xml:space="preserve">, via the Chair, to the PGDD through the action plan notes. These </w:t>
            </w:r>
            <w:r w:rsidR="00D8280A">
              <w:rPr>
                <w:rFonts w:ascii="Arial" w:eastAsia="Calibri" w:hAnsi="Arial" w:cs="Arial"/>
                <w:bCs/>
                <w:color w:val="000000" w:themeColor="text1"/>
              </w:rPr>
              <w:t xml:space="preserve">are </w:t>
            </w:r>
            <w:r w:rsidR="00D8280A" w:rsidRPr="001178E0">
              <w:rPr>
                <w:rFonts w:ascii="Arial" w:eastAsia="Calibri" w:hAnsi="Arial" w:cs="Arial"/>
                <w:bCs/>
                <w:color w:val="000000" w:themeColor="text1"/>
              </w:rPr>
              <w:t>shared</w:t>
            </w:r>
            <w:r w:rsidRPr="001178E0">
              <w:rPr>
                <w:rFonts w:ascii="Arial" w:eastAsia="Calibri" w:hAnsi="Arial" w:cs="Arial"/>
                <w:bCs/>
                <w:color w:val="000000" w:themeColor="text1"/>
              </w:rPr>
              <w:t xml:space="preserve"> with all members of the group.</w:t>
            </w:r>
          </w:p>
          <w:p w14:paraId="5B353D6D" w14:textId="24826088" w:rsidR="000E5A0F" w:rsidRDefault="000E5A0F" w:rsidP="00AE0A74">
            <w:pPr>
              <w:contextualSpacing/>
              <w:rPr>
                <w:rFonts w:ascii="Arial" w:eastAsia="Calibri" w:hAnsi="Arial" w:cs="Arial"/>
                <w:bCs/>
                <w:color w:val="000000" w:themeColor="text1"/>
              </w:rPr>
            </w:pPr>
          </w:p>
          <w:p w14:paraId="38BE0465" w14:textId="612C090A" w:rsidR="000E5A0F" w:rsidRPr="001178E0" w:rsidRDefault="000E5A0F" w:rsidP="00AE0A74">
            <w:pPr>
              <w:contextualSpacing/>
              <w:rPr>
                <w:rFonts w:ascii="Arial" w:eastAsia="Calibri" w:hAnsi="Arial" w:cs="Arial"/>
                <w:bCs/>
                <w:color w:val="000000" w:themeColor="text1"/>
              </w:rPr>
            </w:pPr>
            <w:r>
              <w:rPr>
                <w:rFonts w:ascii="Arial" w:eastAsia="Calibri" w:hAnsi="Arial" w:cs="Arial"/>
                <w:bCs/>
                <w:color w:val="000000" w:themeColor="text1"/>
              </w:rPr>
              <w:t xml:space="preserve">We consider this Requirement to be </w:t>
            </w:r>
            <w:r w:rsidRPr="00D8280A">
              <w:rPr>
                <w:rFonts w:ascii="Arial" w:eastAsia="Calibri" w:hAnsi="Arial" w:cs="Arial"/>
                <w:b/>
              </w:rPr>
              <w:t>met</w:t>
            </w:r>
            <w:r>
              <w:rPr>
                <w:rFonts w:ascii="Arial" w:eastAsia="Calibri" w:hAnsi="Arial" w:cs="Arial"/>
                <w:bCs/>
                <w:color w:val="000000" w:themeColor="text1"/>
              </w:rPr>
              <w:t>.</w:t>
            </w:r>
          </w:p>
          <w:p w14:paraId="239AF733" w14:textId="0B0A29A3" w:rsidR="00AE0A74" w:rsidRDefault="00AE0A74" w:rsidP="00AE0A74">
            <w:pPr>
              <w:contextualSpacing/>
              <w:rPr>
                <w:rFonts w:ascii="Arial" w:eastAsia="Calibri" w:hAnsi="Arial" w:cs="Arial"/>
                <w:bCs/>
                <w:color w:val="000000" w:themeColor="text1"/>
              </w:rPr>
            </w:pPr>
          </w:p>
          <w:p w14:paraId="3CA419E8" w14:textId="330A10A3" w:rsidR="00C10F0C" w:rsidRDefault="005D5820" w:rsidP="00D6729D">
            <w:pPr>
              <w:contextualSpacing/>
              <w:rPr>
                <w:rFonts w:ascii="Arial" w:eastAsia="Calibri" w:hAnsi="Arial" w:cs="Arial"/>
                <w:b/>
                <w:iCs/>
                <w:color w:val="000000" w:themeColor="text1"/>
              </w:rPr>
            </w:pPr>
            <w:r>
              <w:rPr>
                <w:rFonts w:ascii="Arial" w:eastAsia="Calibri" w:hAnsi="Arial" w:cs="Arial"/>
                <w:b/>
                <w:color w:val="000000" w:themeColor="text1"/>
              </w:rPr>
              <w:t>P</w:t>
            </w:r>
            <w:r w:rsidR="00E2148E">
              <w:rPr>
                <w:rFonts w:ascii="Arial" w:eastAsia="Calibri" w:hAnsi="Arial" w:cs="Arial"/>
                <w:b/>
                <w:color w:val="000000" w:themeColor="text1"/>
              </w:rPr>
              <w:t xml:space="preserve">11: </w:t>
            </w:r>
            <w:r w:rsidR="00C10F0C" w:rsidRPr="00C10F0C">
              <w:rPr>
                <w:rFonts w:ascii="Arial" w:eastAsia="Calibri" w:hAnsi="Arial" w:cs="Arial"/>
                <w:b/>
                <w:iCs/>
                <w:color w:val="000000" w:themeColor="text1"/>
              </w:rPr>
              <w:t>The programme provider must have systems in place to ensure the quality of placements/rotations to ensure that patient care and assessment in all locations meets these Standards. The quality management systems should include the regular collection of specialty trainee and patient feedback relating to treatment provided within placements/rotations.</w:t>
            </w:r>
            <w:r w:rsidR="00C10F0C">
              <w:rPr>
                <w:rFonts w:ascii="Arial" w:eastAsia="Calibri" w:hAnsi="Arial" w:cs="Arial"/>
                <w:b/>
                <w:iCs/>
                <w:color w:val="000000" w:themeColor="text1"/>
              </w:rPr>
              <w:t xml:space="preserve"> </w:t>
            </w:r>
            <w:r w:rsidR="00EA58BF">
              <w:rPr>
                <w:rFonts w:ascii="Arial" w:eastAsia="Calibri" w:hAnsi="Arial" w:cs="Arial"/>
                <w:b/>
                <w:iCs/>
                <w:color w:val="000000" w:themeColor="text1"/>
              </w:rPr>
              <w:t>(</w:t>
            </w:r>
            <w:r w:rsidR="00C10F0C">
              <w:rPr>
                <w:rFonts w:ascii="Arial" w:eastAsia="Calibri" w:hAnsi="Arial" w:cs="Arial"/>
                <w:b/>
                <w:iCs/>
                <w:color w:val="000000" w:themeColor="text1"/>
              </w:rPr>
              <w:t xml:space="preserve">Requirement </w:t>
            </w:r>
            <w:r w:rsidR="008B466F" w:rsidRPr="0004225B">
              <w:rPr>
                <w:rFonts w:ascii="Arial" w:eastAsia="Calibri" w:hAnsi="Arial" w:cs="Arial"/>
                <w:b/>
                <w:iCs/>
                <w:color w:val="000000" w:themeColor="text1"/>
              </w:rPr>
              <w:t>Met</w:t>
            </w:r>
            <w:r w:rsidR="00EA58BF" w:rsidRPr="0004225B">
              <w:rPr>
                <w:rFonts w:ascii="Arial" w:eastAsia="Calibri" w:hAnsi="Arial" w:cs="Arial"/>
                <w:b/>
                <w:iCs/>
                <w:color w:val="000000" w:themeColor="text1"/>
              </w:rPr>
              <w:t>)</w:t>
            </w:r>
            <w:r w:rsidR="00C10F0C" w:rsidRPr="0004225B">
              <w:rPr>
                <w:rFonts w:ascii="Arial" w:eastAsia="Calibri" w:hAnsi="Arial" w:cs="Arial"/>
                <w:b/>
                <w:iCs/>
                <w:color w:val="000000" w:themeColor="text1"/>
              </w:rPr>
              <w:t>.</w:t>
            </w:r>
          </w:p>
          <w:p w14:paraId="4EBEDE2C" w14:textId="79F33507" w:rsidR="00D72C77" w:rsidRDefault="00D72C77" w:rsidP="00D6729D">
            <w:pPr>
              <w:contextualSpacing/>
              <w:rPr>
                <w:rFonts w:ascii="Arial" w:hAnsi="Arial" w:cs="Arial"/>
              </w:rPr>
            </w:pPr>
          </w:p>
          <w:p w14:paraId="48DF7500" w14:textId="72B70E0E" w:rsidR="001178E0" w:rsidRDefault="00AE0A74" w:rsidP="008B466F">
            <w:pPr>
              <w:contextualSpacing/>
              <w:rPr>
                <w:rFonts w:ascii="Arial" w:eastAsia="Calibri" w:hAnsi="Arial" w:cs="Arial"/>
                <w:color w:val="000000" w:themeColor="text1"/>
              </w:rPr>
            </w:pPr>
            <w:r w:rsidRPr="00AE0A74">
              <w:rPr>
                <w:rFonts w:ascii="Arial" w:eastAsia="Calibri" w:hAnsi="Arial" w:cs="Arial"/>
                <w:color w:val="000000" w:themeColor="text1"/>
              </w:rPr>
              <w:t>Quality visits</w:t>
            </w:r>
            <w:r w:rsidR="001178E0">
              <w:rPr>
                <w:rFonts w:ascii="Arial" w:eastAsia="Calibri" w:hAnsi="Arial" w:cs="Arial"/>
                <w:color w:val="000000" w:themeColor="text1"/>
              </w:rPr>
              <w:t xml:space="preserve"> take place</w:t>
            </w:r>
            <w:r w:rsidRPr="00AE0A74">
              <w:rPr>
                <w:rFonts w:ascii="Arial" w:eastAsia="Calibri" w:hAnsi="Arial" w:cs="Arial"/>
                <w:color w:val="000000" w:themeColor="text1"/>
              </w:rPr>
              <w:t xml:space="preserve"> every 3 years but </w:t>
            </w:r>
            <w:r w:rsidR="001178E0">
              <w:rPr>
                <w:rFonts w:ascii="Arial" w:eastAsia="Calibri" w:hAnsi="Arial" w:cs="Arial"/>
                <w:color w:val="000000" w:themeColor="text1"/>
              </w:rPr>
              <w:t xml:space="preserve">have been </w:t>
            </w:r>
            <w:r w:rsidRPr="00AE0A74">
              <w:rPr>
                <w:rFonts w:ascii="Arial" w:eastAsia="Calibri" w:hAnsi="Arial" w:cs="Arial"/>
                <w:color w:val="000000" w:themeColor="text1"/>
              </w:rPr>
              <w:t xml:space="preserve">suspended in 2020 </w:t>
            </w:r>
            <w:r w:rsidR="001178E0">
              <w:rPr>
                <w:rFonts w:ascii="Arial" w:eastAsia="Calibri" w:hAnsi="Arial" w:cs="Arial"/>
                <w:color w:val="000000" w:themeColor="text1"/>
              </w:rPr>
              <w:t>due to the</w:t>
            </w:r>
            <w:r w:rsidRPr="00AE0A74">
              <w:rPr>
                <w:rFonts w:ascii="Arial" w:eastAsia="Calibri" w:hAnsi="Arial" w:cs="Arial"/>
                <w:color w:val="000000" w:themeColor="text1"/>
              </w:rPr>
              <w:t xml:space="preserve"> C</w:t>
            </w:r>
            <w:r w:rsidR="001178E0">
              <w:rPr>
                <w:rFonts w:ascii="Arial" w:eastAsia="Calibri" w:hAnsi="Arial" w:cs="Arial"/>
                <w:color w:val="000000" w:themeColor="text1"/>
              </w:rPr>
              <w:t>OVID-19 pandemic</w:t>
            </w:r>
            <w:r w:rsidRPr="00AE0A74">
              <w:rPr>
                <w:rFonts w:ascii="Arial" w:eastAsia="Calibri" w:hAnsi="Arial" w:cs="Arial"/>
                <w:color w:val="000000" w:themeColor="text1"/>
              </w:rPr>
              <w:t>.</w:t>
            </w:r>
            <w:r w:rsidR="001178E0">
              <w:rPr>
                <w:rFonts w:ascii="Arial" w:eastAsia="Calibri" w:hAnsi="Arial" w:cs="Arial"/>
                <w:color w:val="000000" w:themeColor="text1"/>
              </w:rPr>
              <w:t xml:space="preserve"> We were provided with clear evidence that</w:t>
            </w:r>
            <w:r w:rsidR="009E5A0F">
              <w:rPr>
                <w:rFonts w:ascii="Arial" w:eastAsia="Calibri" w:hAnsi="Arial" w:cs="Arial"/>
                <w:color w:val="000000" w:themeColor="text1"/>
              </w:rPr>
              <w:t xml:space="preserve"> if concerns are raised</w:t>
            </w:r>
            <w:r w:rsidR="003A7F97">
              <w:rPr>
                <w:rFonts w:ascii="Arial" w:eastAsia="Calibri" w:hAnsi="Arial" w:cs="Arial"/>
                <w:color w:val="000000" w:themeColor="text1"/>
              </w:rPr>
              <w:t>,</w:t>
            </w:r>
            <w:r w:rsidR="009E5A0F">
              <w:rPr>
                <w:rFonts w:ascii="Arial" w:eastAsia="Calibri" w:hAnsi="Arial" w:cs="Arial"/>
                <w:color w:val="000000" w:themeColor="text1"/>
              </w:rPr>
              <w:t xml:space="preserve"> visits are </w:t>
            </w:r>
            <w:r w:rsidR="008013D0">
              <w:rPr>
                <w:rFonts w:ascii="Arial" w:eastAsia="Calibri" w:hAnsi="Arial" w:cs="Arial"/>
                <w:color w:val="000000" w:themeColor="text1"/>
              </w:rPr>
              <w:t>triggered,</w:t>
            </w:r>
            <w:r w:rsidR="009E5A0F">
              <w:rPr>
                <w:rFonts w:ascii="Arial" w:eastAsia="Calibri" w:hAnsi="Arial" w:cs="Arial"/>
                <w:color w:val="000000" w:themeColor="text1"/>
              </w:rPr>
              <w:t xml:space="preserve"> and that</w:t>
            </w:r>
            <w:r w:rsidR="001178E0">
              <w:rPr>
                <w:rFonts w:ascii="Arial" w:eastAsia="Calibri" w:hAnsi="Arial" w:cs="Arial"/>
                <w:color w:val="000000" w:themeColor="text1"/>
              </w:rPr>
              <w:t xml:space="preserve"> trainers and trainees</w:t>
            </w:r>
            <w:r w:rsidR="009E5A0F">
              <w:rPr>
                <w:rFonts w:ascii="Arial" w:eastAsia="Calibri" w:hAnsi="Arial" w:cs="Arial"/>
                <w:color w:val="000000" w:themeColor="text1"/>
              </w:rPr>
              <w:t xml:space="preserve"> have the opportunity to give feedback</w:t>
            </w:r>
            <w:r w:rsidR="001178E0">
              <w:rPr>
                <w:rFonts w:ascii="Arial" w:eastAsia="Calibri" w:hAnsi="Arial" w:cs="Arial"/>
                <w:color w:val="000000" w:themeColor="text1"/>
              </w:rPr>
              <w:t xml:space="preserve"> </w:t>
            </w:r>
            <w:r w:rsidR="009E5A0F">
              <w:rPr>
                <w:rFonts w:ascii="Arial" w:eastAsia="Calibri" w:hAnsi="Arial" w:cs="Arial"/>
                <w:color w:val="000000" w:themeColor="text1"/>
              </w:rPr>
              <w:t>during</w:t>
            </w:r>
            <w:r w:rsidR="001178E0">
              <w:rPr>
                <w:rFonts w:ascii="Arial" w:eastAsia="Calibri" w:hAnsi="Arial" w:cs="Arial"/>
                <w:color w:val="000000" w:themeColor="text1"/>
              </w:rPr>
              <w:t xml:space="preserve"> visits</w:t>
            </w:r>
            <w:r w:rsidR="000E5A0F">
              <w:rPr>
                <w:rFonts w:ascii="Arial" w:eastAsia="Calibri" w:hAnsi="Arial" w:cs="Arial"/>
                <w:color w:val="000000" w:themeColor="text1"/>
              </w:rPr>
              <w:t>.</w:t>
            </w:r>
          </w:p>
          <w:p w14:paraId="53EFEF9F" w14:textId="77777777" w:rsidR="001178E0" w:rsidRDefault="001178E0" w:rsidP="008B466F">
            <w:pPr>
              <w:contextualSpacing/>
              <w:rPr>
                <w:rFonts w:ascii="Arial" w:eastAsia="Calibri" w:hAnsi="Arial" w:cs="Arial"/>
                <w:color w:val="000000" w:themeColor="text1"/>
              </w:rPr>
            </w:pPr>
          </w:p>
          <w:p w14:paraId="37B8A296" w14:textId="632DDEC7" w:rsidR="00307CC4" w:rsidRDefault="00307CC4" w:rsidP="00307CC4">
            <w:pPr>
              <w:contextualSpacing/>
              <w:rPr>
                <w:rFonts w:ascii="Arial" w:eastAsia="Calibri" w:hAnsi="Arial" w:cs="Arial"/>
                <w:color w:val="000000" w:themeColor="text1"/>
              </w:rPr>
            </w:pPr>
            <w:r>
              <w:rPr>
                <w:rFonts w:ascii="Arial" w:eastAsia="Calibri" w:hAnsi="Arial" w:cs="Arial"/>
                <w:color w:val="000000" w:themeColor="text1"/>
              </w:rPr>
              <w:t>Evidence provided to us outlined the</w:t>
            </w:r>
            <w:r w:rsidRPr="00AE0A74">
              <w:rPr>
                <w:rFonts w:ascii="Arial" w:eastAsia="Calibri" w:hAnsi="Arial" w:cs="Arial"/>
                <w:color w:val="000000" w:themeColor="text1"/>
              </w:rPr>
              <w:t xml:space="preserve"> various systems which are in place to ensure quality of </w:t>
            </w:r>
            <w:r w:rsidR="004221C9" w:rsidRPr="00AE0A74">
              <w:rPr>
                <w:rFonts w:ascii="Arial" w:eastAsia="Calibri" w:hAnsi="Arial" w:cs="Arial"/>
                <w:color w:val="000000" w:themeColor="text1"/>
              </w:rPr>
              <w:t>placements</w:t>
            </w:r>
            <w:r w:rsidR="009E5A0F">
              <w:rPr>
                <w:rFonts w:ascii="Arial" w:eastAsia="Calibri" w:hAnsi="Arial" w:cs="Arial"/>
                <w:color w:val="000000" w:themeColor="text1"/>
              </w:rPr>
              <w:t>. It was also evident that various opportunities were provided</w:t>
            </w:r>
            <w:r w:rsidRPr="00AE0A74">
              <w:rPr>
                <w:rFonts w:ascii="Arial" w:eastAsia="Calibri" w:hAnsi="Arial" w:cs="Arial"/>
                <w:color w:val="000000" w:themeColor="text1"/>
              </w:rPr>
              <w:t xml:space="preserve"> to capture </w:t>
            </w:r>
            <w:r w:rsidR="004221C9" w:rsidRPr="00AE0A74">
              <w:rPr>
                <w:rFonts w:ascii="Arial" w:eastAsia="Calibri" w:hAnsi="Arial" w:cs="Arial"/>
                <w:color w:val="000000" w:themeColor="text1"/>
              </w:rPr>
              <w:t>feedback,</w:t>
            </w:r>
            <w:r w:rsidRPr="00AE0A74">
              <w:rPr>
                <w:rFonts w:ascii="Arial" w:eastAsia="Calibri" w:hAnsi="Arial" w:cs="Arial"/>
                <w:color w:val="000000" w:themeColor="text1"/>
              </w:rPr>
              <w:t xml:space="preserve"> particularly from </w:t>
            </w:r>
            <w:r w:rsidR="003A7F97">
              <w:rPr>
                <w:rFonts w:ascii="Arial" w:eastAsia="Calibri" w:hAnsi="Arial" w:cs="Arial"/>
                <w:color w:val="000000" w:themeColor="text1"/>
              </w:rPr>
              <w:t>S</w:t>
            </w:r>
            <w:r>
              <w:rPr>
                <w:rFonts w:ascii="Arial" w:eastAsia="Calibri" w:hAnsi="Arial" w:cs="Arial"/>
                <w:color w:val="000000" w:themeColor="text1"/>
              </w:rPr>
              <w:t xml:space="preserve">pecialty </w:t>
            </w:r>
            <w:r w:rsidR="003A7F97">
              <w:rPr>
                <w:rFonts w:ascii="Arial" w:eastAsia="Calibri" w:hAnsi="Arial" w:cs="Arial"/>
                <w:color w:val="000000" w:themeColor="text1"/>
              </w:rPr>
              <w:t>T</w:t>
            </w:r>
            <w:r>
              <w:rPr>
                <w:rFonts w:ascii="Arial" w:eastAsia="Calibri" w:hAnsi="Arial" w:cs="Arial"/>
                <w:color w:val="000000" w:themeColor="text1"/>
              </w:rPr>
              <w:t>rainees</w:t>
            </w:r>
            <w:r w:rsidR="009E5A0F">
              <w:rPr>
                <w:rFonts w:ascii="Arial" w:eastAsia="Calibri" w:hAnsi="Arial" w:cs="Arial"/>
                <w:color w:val="000000" w:themeColor="text1"/>
              </w:rPr>
              <w:t xml:space="preserve"> and</w:t>
            </w:r>
            <w:r>
              <w:rPr>
                <w:rFonts w:ascii="Arial" w:eastAsia="Calibri" w:hAnsi="Arial" w:cs="Arial"/>
                <w:color w:val="000000" w:themeColor="text1"/>
              </w:rPr>
              <w:t xml:space="preserve"> that </w:t>
            </w:r>
            <w:r w:rsidRPr="00AE0A74">
              <w:rPr>
                <w:rFonts w:ascii="Arial" w:eastAsia="Calibri" w:hAnsi="Arial" w:cs="Arial"/>
                <w:color w:val="000000" w:themeColor="text1"/>
              </w:rPr>
              <w:t>any concerns are taken seriously and actioned</w:t>
            </w:r>
            <w:r w:rsidR="000C12F9">
              <w:rPr>
                <w:rFonts w:ascii="Arial" w:eastAsia="Calibri" w:hAnsi="Arial" w:cs="Arial"/>
                <w:color w:val="000000" w:themeColor="text1"/>
              </w:rPr>
              <w:t>.</w:t>
            </w:r>
          </w:p>
          <w:p w14:paraId="14C665EB" w14:textId="77777777" w:rsidR="00307CC4" w:rsidRDefault="00307CC4" w:rsidP="00307CC4">
            <w:pPr>
              <w:contextualSpacing/>
              <w:rPr>
                <w:rFonts w:ascii="Arial" w:eastAsia="Calibri" w:hAnsi="Arial" w:cs="Arial"/>
                <w:color w:val="000000" w:themeColor="text1"/>
              </w:rPr>
            </w:pPr>
          </w:p>
          <w:p w14:paraId="22309868" w14:textId="3B4944BD" w:rsidR="00F20712" w:rsidRDefault="00AE0A74" w:rsidP="003A7F97">
            <w:pPr>
              <w:rPr>
                <w:rFonts w:ascii="Arial" w:eastAsia="Calibri" w:hAnsi="Arial" w:cs="Arial"/>
                <w:color w:val="000000" w:themeColor="text1"/>
              </w:rPr>
            </w:pPr>
            <w:r w:rsidRPr="003A7F97">
              <w:rPr>
                <w:rFonts w:ascii="Arial" w:eastAsia="Calibri" w:hAnsi="Arial" w:cs="Arial"/>
                <w:color w:val="000000" w:themeColor="text1"/>
              </w:rPr>
              <w:t>STC</w:t>
            </w:r>
            <w:r w:rsidRPr="00AE0A74">
              <w:rPr>
                <w:rFonts w:ascii="Arial" w:eastAsia="Calibri" w:hAnsi="Arial" w:cs="Arial"/>
                <w:color w:val="000000" w:themeColor="text1"/>
              </w:rPr>
              <w:t xml:space="preserve"> and HEE South Speciality Trainee Group allow trainees to feedback on training</w:t>
            </w:r>
            <w:r w:rsidR="00307CC4">
              <w:rPr>
                <w:rFonts w:ascii="Arial" w:eastAsia="Calibri" w:hAnsi="Arial" w:cs="Arial"/>
                <w:color w:val="000000" w:themeColor="text1"/>
              </w:rPr>
              <w:t xml:space="preserve"> with </w:t>
            </w:r>
            <w:r w:rsidR="004221C9">
              <w:rPr>
                <w:rFonts w:ascii="Arial" w:eastAsia="Calibri" w:hAnsi="Arial" w:cs="Arial"/>
                <w:color w:val="000000" w:themeColor="text1"/>
              </w:rPr>
              <w:t>“</w:t>
            </w:r>
            <w:r w:rsidR="00307CC4">
              <w:rPr>
                <w:rFonts w:ascii="Arial" w:eastAsia="Calibri" w:hAnsi="Arial" w:cs="Arial"/>
                <w:color w:val="000000" w:themeColor="text1"/>
              </w:rPr>
              <w:t>trainee feedback” being a standing agenda item</w:t>
            </w:r>
            <w:r w:rsidRPr="00AE0A74">
              <w:rPr>
                <w:rFonts w:ascii="Arial" w:eastAsia="Calibri" w:hAnsi="Arial" w:cs="Arial"/>
                <w:color w:val="000000" w:themeColor="text1"/>
              </w:rPr>
              <w:t xml:space="preserve">. </w:t>
            </w:r>
            <w:r w:rsidR="00494580">
              <w:rPr>
                <w:rFonts w:ascii="Arial" w:eastAsia="Calibri" w:hAnsi="Arial" w:cs="Arial"/>
                <w:color w:val="000000" w:themeColor="text1"/>
              </w:rPr>
              <w:t xml:space="preserve">The </w:t>
            </w:r>
            <w:r w:rsidRPr="00AE0A74">
              <w:rPr>
                <w:rFonts w:ascii="Arial" w:eastAsia="Calibri" w:hAnsi="Arial" w:cs="Arial"/>
                <w:color w:val="000000" w:themeColor="text1"/>
              </w:rPr>
              <w:t>Chair of this group</w:t>
            </w:r>
            <w:r w:rsidR="00307CC4">
              <w:rPr>
                <w:rFonts w:ascii="Arial" w:eastAsia="Calibri" w:hAnsi="Arial" w:cs="Arial"/>
                <w:color w:val="000000" w:themeColor="text1"/>
              </w:rPr>
              <w:t xml:space="preserve"> is</w:t>
            </w:r>
            <w:r w:rsidRPr="00AE0A74">
              <w:rPr>
                <w:rFonts w:ascii="Arial" w:eastAsia="Calibri" w:hAnsi="Arial" w:cs="Arial"/>
                <w:color w:val="000000" w:themeColor="text1"/>
              </w:rPr>
              <w:t xml:space="preserve"> in direct contact with HEE, both locally and nationally, allowing them to work </w:t>
            </w:r>
            <w:r w:rsidR="00494580">
              <w:rPr>
                <w:rFonts w:ascii="Arial" w:eastAsia="Calibri" w:hAnsi="Arial" w:cs="Arial"/>
                <w:color w:val="000000" w:themeColor="text1"/>
              </w:rPr>
              <w:t>together</w:t>
            </w:r>
            <w:r w:rsidRPr="00AE0A74">
              <w:rPr>
                <w:rFonts w:ascii="Arial" w:eastAsia="Calibri" w:hAnsi="Arial" w:cs="Arial"/>
                <w:color w:val="000000" w:themeColor="text1"/>
              </w:rPr>
              <w:t xml:space="preserve"> to improve the quality of training, raise concerns and address any other workforce issues. </w:t>
            </w:r>
            <w:r w:rsidR="00494580" w:rsidRPr="00AE0A74">
              <w:rPr>
                <w:rFonts w:ascii="Arial" w:eastAsia="Calibri" w:hAnsi="Arial" w:cs="Arial"/>
                <w:color w:val="000000" w:themeColor="text1"/>
              </w:rPr>
              <w:t>Anonymous</w:t>
            </w:r>
            <w:r w:rsidRPr="00AE0A74">
              <w:rPr>
                <w:rFonts w:ascii="Arial" w:eastAsia="Calibri" w:hAnsi="Arial" w:cs="Arial"/>
                <w:color w:val="000000" w:themeColor="text1"/>
              </w:rPr>
              <w:t xml:space="preserve"> feedback is provided by</w:t>
            </w:r>
            <w:r w:rsidR="003D1A44">
              <w:rPr>
                <w:rFonts w:ascii="Arial" w:eastAsia="Calibri" w:hAnsi="Arial" w:cs="Arial"/>
                <w:color w:val="000000" w:themeColor="text1"/>
              </w:rPr>
              <w:t xml:space="preserve"> the National Education and Training Survey</w:t>
            </w:r>
            <w:r w:rsidRPr="00AE0A74">
              <w:rPr>
                <w:rFonts w:ascii="Arial" w:eastAsia="Calibri" w:hAnsi="Arial" w:cs="Arial"/>
                <w:color w:val="000000" w:themeColor="text1"/>
              </w:rPr>
              <w:t xml:space="preserve"> </w:t>
            </w:r>
            <w:r w:rsidR="003D1A44">
              <w:rPr>
                <w:rFonts w:ascii="Arial" w:eastAsia="Calibri" w:hAnsi="Arial" w:cs="Arial"/>
                <w:color w:val="000000" w:themeColor="text1"/>
              </w:rPr>
              <w:t>(</w:t>
            </w:r>
            <w:r w:rsidRPr="00AE0A74">
              <w:rPr>
                <w:rFonts w:ascii="Arial" w:eastAsia="Calibri" w:hAnsi="Arial" w:cs="Arial"/>
                <w:color w:val="000000" w:themeColor="text1"/>
              </w:rPr>
              <w:t>NETS</w:t>
            </w:r>
            <w:r w:rsidR="003D1A44">
              <w:rPr>
                <w:rFonts w:ascii="Arial" w:eastAsia="Calibri" w:hAnsi="Arial" w:cs="Arial"/>
                <w:color w:val="000000" w:themeColor="text1"/>
              </w:rPr>
              <w:t>)</w:t>
            </w:r>
            <w:r w:rsidRPr="00AE0A74">
              <w:rPr>
                <w:rFonts w:ascii="Arial" w:eastAsia="Calibri" w:hAnsi="Arial" w:cs="Arial"/>
                <w:color w:val="000000" w:themeColor="text1"/>
              </w:rPr>
              <w:t xml:space="preserve"> survey and trainees can use</w:t>
            </w:r>
            <w:r w:rsidR="00494580">
              <w:rPr>
                <w:rFonts w:ascii="Arial" w:eastAsia="Calibri" w:hAnsi="Arial" w:cs="Arial"/>
                <w:color w:val="000000" w:themeColor="text1"/>
              </w:rPr>
              <w:t xml:space="preserve"> the</w:t>
            </w:r>
            <w:r w:rsidRPr="00AE0A74">
              <w:rPr>
                <w:rFonts w:ascii="Arial" w:eastAsia="Calibri" w:hAnsi="Arial" w:cs="Arial"/>
                <w:color w:val="000000" w:themeColor="text1"/>
              </w:rPr>
              <w:t xml:space="preserve"> ARCP to feedback to </w:t>
            </w:r>
            <w:r w:rsidR="00494580">
              <w:rPr>
                <w:rFonts w:ascii="Arial" w:eastAsia="Calibri" w:hAnsi="Arial" w:cs="Arial"/>
                <w:color w:val="000000" w:themeColor="text1"/>
              </w:rPr>
              <w:t xml:space="preserve">the </w:t>
            </w:r>
            <w:r w:rsidRPr="00AE0A74">
              <w:rPr>
                <w:rFonts w:ascii="Arial" w:eastAsia="Calibri" w:hAnsi="Arial" w:cs="Arial"/>
                <w:color w:val="000000" w:themeColor="text1"/>
              </w:rPr>
              <w:t>committee and external SAC rep</w:t>
            </w:r>
            <w:r w:rsidR="00494580">
              <w:rPr>
                <w:rFonts w:ascii="Arial" w:eastAsia="Calibri" w:hAnsi="Arial" w:cs="Arial"/>
                <w:color w:val="000000" w:themeColor="text1"/>
              </w:rPr>
              <w:t>resentative</w:t>
            </w:r>
            <w:r w:rsidRPr="00AE0A74">
              <w:rPr>
                <w:rFonts w:ascii="Arial" w:eastAsia="Calibri" w:hAnsi="Arial" w:cs="Arial"/>
                <w:color w:val="000000" w:themeColor="text1"/>
              </w:rPr>
              <w:t xml:space="preserve">. </w:t>
            </w:r>
          </w:p>
          <w:p w14:paraId="73BEDCA4" w14:textId="77777777" w:rsidR="003A7F97" w:rsidRDefault="003A7F97" w:rsidP="000C12F9">
            <w:pPr>
              <w:rPr>
                <w:rFonts w:ascii="Arial" w:eastAsia="Calibri" w:hAnsi="Arial" w:cs="Arial"/>
                <w:color w:val="000000" w:themeColor="text1"/>
              </w:rPr>
            </w:pPr>
          </w:p>
          <w:p w14:paraId="21BCC46C" w14:textId="04E5FC8C" w:rsidR="004221C9" w:rsidRDefault="00F20712" w:rsidP="004221C9">
            <w:pPr>
              <w:contextualSpacing/>
              <w:rPr>
                <w:rFonts w:ascii="Arial" w:eastAsia="Calibri" w:hAnsi="Arial" w:cs="Arial"/>
                <w:color w:val="000000" w:themeColor="text1"/>
              </w:rPr>
            </w:pPr>
            <w:r w:rsidRPr="000C12F9">
              <w:rPr>
                <w:rFonts w:ascii="Arial" w:eastAsia="Calibri" w:hAnsi="Arial" w:cs="Arial"/>
                <w:color w:val="000000" w:themeColor="text1"/>
              </w:rPr>
              <w:t xml:space="preserve">At the conclusion of their training, Specialty trainees have the opportunity to provide feedback on both their training experience and clinical experience through the </w:t>
            </w:r>
            <w:r w:rsidRPr="000C12F9">
              <w:rPr>
                <w:rFonts w:ascii="Arial" w:hAnsi="Arial" w:cs="Arial"/>
              </w:rPr>
              <w:t xml:space="preserve">Dental Specialist Trainee completion of training </w:t>
            </w:r>
            <w:r w:rsidR="00F135E8" w:rsidRPr="000C12F9">
              <w:rPr>
                <w:rFonts w:ascii="Arial" w:hAnsi="Arial" w:cs="Arial"/>
              </w:rPr>
              <w:t>questionnaire.</w:t>
            </w:r>
            <w:r w:rsidR="00522F1B">
              <w:rPr>
                <w:rFonts w:ascii="Arial" w:hAnsi="Arial" w:cs="Arial"/>
              </w:rPr>
              <w:t xml:space="preserve"> </w:t>
            </w:r>
            <w:r w:rsidR="004221C9" w:rsidRPr="00AE0A74">
              <w:rPr>
                <w:rFonts w:ascii="Arial" w:eastAsia="Calibri" w:hAnsi="Arial" w:cs="Arial"/>
                <w:color w:val="000000" w:themeColor="text1"/>
              </w:rPr>
              <w:t xml:space="preserve">Examples of feedback from </w:t>
            </w:r>
            <w:r w:rsidR="004221C9">
              <w:rPr>
                <w:rFonts w:ascii="Arial" w:eastAsia="Calibri" w:hAnsi="Arial" w:cs="Arial"/>
                <w:color w:val="000000" w:themeColor="text1"/>
              </w:rPr>
              <w:t>s</w:t>
            </w:r>
            <w:r w:rsidR="004221C9" w:rsidRPr="00AE0A74">
              <w:rPr>
                <w:rFonts w:ascii="Arial" w:eastAsia="Calibri" w:hAnsi="Arial" w:cs="Arial"/>
                <w:color w:val="000000" w:themeColor="text1"/>
              </w:rPr>
              <w:t>pecialty trainees in SW and TVW who ha</w:t>
            </w:r>
            <w:r>
              <w:rPr>
                <w:rFonts w:ascii="Arial" w:eastAsia="Calibri" w:hAnsi="Arial" w:cs="Arial"/>
                <w:color w:val="000000" w:themeColor="text1"/>
              </w:rPr>
              <w:t>d</w:t>
            </w:r>
            <w:r w:rsidR="004221C9" w:rsidRPr="00AE0A74">
              <w:rPr>
                <w:rFonts w:ascii="Arial" w:eastAsia="Calibri" w:hAnsi="Arial" w:cs="Arial"/>
                <w:color w:val="000000" w:themeColor="text1"/>
              </w:rPr>
              <w:t xml:space="preserve"> completed their training were provided. They were extremely complimentary of the support provided by staff.</w:t>
            </w:r>
          </w:p>
          <w:p w14:paraId="4F76F5B3" w14:textId="77777777" w:rsidR="004221C9" w:rsidRDefault="004221C9" w:rsidP="008B466F">
            <w:pPr>
              <w:contextualSpacing/>
              <w:rPr>
                <w:rFonts w:ascii="Arial" w:eastAsia="Calibri" w:hAnsi="Arial" w:cs="Arial"/>
                <w:color w:val="000000" w:themeColor="text1"/>
              </w:rPr>
            </w:pPr>
          </w:p>
          <w:p w14:paraId="056B85D1" w14:textId="1496DFB9" w:rsidR="000E5A0F" w:rsidRDefault="00307CC4" w:rsidP="008B466F">
            <w:pPr>
              <w:contextualSpacing/>
              <w:rPr>
                <w:rFonts w:ascii="Arial" w:eastAsia="Calibri" w:hAnsi="Arial" w:cs="Arial"/>
                <w:color w:val="000000" w:themeColor="text1"/>
              </w:rPr>
            </w:pPr>
            <w:r>
              <w:rPr>
                <w:rFonts w:ascii="Arial" w:eastAsia="Calibri" w:hAnsi="Arial" w:cs="Arial"/>
                <w:color w:val="000000" w:themeColor="text1"/>
              </w:rPr>
              <w:t xml:space="preserve">The </w:t>
            </w:r>
            <w:r w:rsidR="00AE0A74" w:rsidRPr="00AE0A74">
              <w:rPr>
                <w:rFonts w:ascii="Arial" w:eastAsia="Calibri" w:hAnsi="Arial" w:cs="Arial"/>
                <w:color w:val="000000" w:themeColor="text1"/>
              </w:rPr>
              <w:t xml:space="preserve">Quality, Scrutiny Oversight Group for the </w:t>
            </w:r>
            <w:r w:rsidR="000C12F9" w:rsidRPr="00AE0A74">
              <w:rPr>
                <w:rFonts w:ascii="Arial" w:eastAsia="Calibri" w:hAnsi="Arial" w:cs="Arial"/>
                <w:color w:val="000000" w:themeColor="text1"/>
              </w:rPr>
              <w:t>Southwest</w:t>
            </w:r>
            <w:r w:rsidR="00AE0A74" w:rsidRPr="00AE0A74">
              <w:rPr>
                <w:rFonts w:ascii="Arial" w:eastAsia="Calibri" w:hAnsi="Arial" w:cs="Arial"/>
                <w:color w:val="000000" w:themeColor="text1"/>
              </w:rPr>
              <w:t xml:space="preserve"> receive</w:t>
            </w:r>
            <w:r w:rsidR="00F20712">
              <w:rPr>
                <w:rFonts w:ascii="Arial" w:eastAsia="Calibri" w:hAnsi="Arial" w:cs="Arial"/>
                <w:color w:val="000000" w:themeColor="text1"/>
              </w:rPr>
              <w:t>s</w:t>
            </w:r>
            <w:r w:rsidR="00AE0A74" w:rsidRPr="00AE0A74">
              <w:rPr>
                <w:rFonts w:ascii="Arial" w:eastAsia="Calibri" w:hAnsi="Arial" w:cs="Arial"/>
                <w:color w:val="000000" w:themeColor="text1"/>
              </w:rPr>
              <w:t xml:space="preserve"> feedback relating to training programmes and placements. Collated feedback across all specialties is presented to the STC. </w:t>
            </w:r>
            <w:r>
              <w:rPr>
                <w:rFonts w:ascii="Arial" w:eastAsia="Calibri" w:hAnsi="Arial" w:cs="Arial"/>
                <w:color w:val="000000" w:themeColor="text1"/>
              </w:rPr>
              <w:t>We were provided with g</w:t>
            </w:r>
            <w:r w:rsidR="00AE0A74" w:rsidRPr="00AE0A74">
              <w:rPr>
                <w:rFonts w:ascii="Arial" w:eastAsia="Calibri" w:hAnsi="Arial" w:cs="Arial"/>
                <w:color w:val="000000" w:themeColor="text1"/>
              </w:rPr>
              <w:t>ood evidence of</w:t>
            </w:r>
            <w:r>
              <w:rPr>
                <w:rFonts w:ascii="Arial" w:eastAsia="Calibri" w:hAnsi="Arial" w:cs="Arial"/>
                <w:color w:val="000000" w:themeColor="text1"/>
              </w:rPr>
              <w:t xml:space="preserve"> a</w:t>
            </w:r>
            <w:r w:rsidR="00AE0A74" w:rsidRPr="00AE0A74">
              <w:rPr>
                <w:rFonts w:ascii="Arial" w:eastAsia="Calibri" w:hAnsi="Arial" w:cs="Arial"/>
                <w:color w:val="000000" w:themeColor="text1"/>
              </w:rPr>
              <w:t xml:space="preserve"> comprehensive system </w:t>
            </w:r>
            <w:r>
              <w:rPr>
                <w:rFonts w:ascii="Arial" w:eastAsia="Calibri" w:hAnsi="Arial" w:cs="Arial"/>
                <w:color w:val="000000" w:themeColor="text1"/>
              </w:rPr>
              <w:t>in relation to</w:t>
            </w:r>
            <w:r w:rsidR="00AE0A74" w:rsidRPr="00AE0A74">
              <w:rPr>
                <w:rFonts w:ascii="Arial" w:eastAsia="Calibri" w:hAnsi="Arial" w:cs="Arial"/>
                <w:color w:val="000000" w:themeColor="text1"/>
              </w:rPr>
              <w:t xml:space="preserve"> feedback.</w:t>
            </w:r>
          </w:p>
          <w:p w14:paraId="12A740FA" w14:textId="77777777" w:rsidR="004221C9" w:rsidRDefault="004221C9" w:rsidP="008B466F">
            <w:pPr>
              <w:contextualSpacing/>
              <w:rPr>
                <w:rFonts w:ascii="Arial" w:eastAsia="Calibri" w:hAnsi="Arial" w:cs="Arial"/>
                <w:color w:val="000000" w:themeColor="text1"/>
              </w:rPr>
            </w:pPr>
          </w:p>
          <w:p w14:paraId="4879461D" w14:textId="6E659896" w:rsidR="000E5A0F" w:rsidRPr="00E46450" w:rsidRDefault="000E5A0F" w:rsidP="008B466F">
            <w:pPr>
              <w:contextualSpacing/>
              <w:rPr>
                <w:rFonts w:ascii="Arial" w:eastAsia="Calibri" w:hAnsi="Arial" w:cs="Arial"/>
                <w:color w:val="000000" w:themeColor="text1"/>
              </w:rPr>
            </w:pPr>
            <w:r>
              <w:rPr>
                <w:rFonts w:ascii="Arial" w:eastAsia="Calibri" w:hAnsi="Arial" w:cs="Arial"/>
                <w:color w:val="000000" w:themeColor="text1"/>
              </w:rPr>
              <w:t xml:space="preserve">We consider this Requirement to be </w:t>
            </w:r>
            <w:r w:rsidRPr="00D8280A">
              <w:rPr>
                <w:rFonts w:ascii="Arial" w:eastAsia="Calibri" w:hAnsi="Arial" w:cs="Arial"/>
                <w:b/>
                <w:bCs/>
                <w:color w:val="000000" w:themeColor="text1"/>
              </w:rPr>
              <w:t>met.</w:t>
            </w:r>
          </w:p>
        </w:tc>
      </w:tr>
    </w:tbl>
    <w:p w14:paraId="28198FA2" w14:textId="3F871D5B" w:rsidR="001076D7" w:rsidRDefault="001076D7" w:rsidP="00D6729D">
      <w:pPr>
        <w:spacing w:line="240" w:lineRule="auto"/>
        <w:contextualSpacing/>
        <w:rPr>
          <w:rFonts w:ascii="Arial" w:hAnsi="Arial" w:cs="Arial"/>
        </w:rPr>
      </w:pPr>
    </w:p>
    <w:p w14:paraId="4AEEA044" w14:textId="7D665DF7" w:rsidR="00E2148E" w:rsidRDefault="00E2148E" w:rsidP="00D6729D">
      <w:pPr>
        <w:spacing w:line="240" w:lineRule="auto"/>
        <w:contextualSpacing/>
        <w:rPr>
          <w:rFonts w:ascii="Arial" w:hAnsi="Arial" w:cs="Arial"/>
        </w:rPr>
      </w:pPr>
    </w:p>
    <w:p w14:paraId="5B2FCD02" w14:textId="53D89E5E" w:rsidR="004221C9" w:rsidRDefault="004221C9" w:rsidP="00D6729D">
      <w:pPr>
        <w:spacing w:line="240" w:lineRule="auto"/>
        <w:contextualSpacing/>
        <w:rPr>
          <w:rFonts w:ascii="Arial" w:hAnsi="Arial" w:cs="Arial"/>
        </w:rPr>
      </w:pPr>
    </w:p>
    <w:p w14:paraId="513FFBBD" w14:textId="77777777" w:rsidR="004221C9" w:rsidRDefault="004221C9" w:rsidP="00D6729D">
      <w:pPr>
        <w:spacing w:line="240" w:lineRule="auto"/>
        <w:contextualSpacing/>
        <w:rPr>
          <w:rFonts w:ascii="Arial" w:hAnsi="Arial" w:cs="Arial"/>
        </w:rPr>
      </w:pPr>
    </w:p>
    <w:tbl>
      <w:tblPr>
        <w:tblStyle w:val="TableGrid"/>
        <w:tblW w:w="9464" w:type="dxa"/>
        <w:tblLook w:val="04A0" w:firstRow="1" w:lastRow="0" w:firstColumn="1" w:lastColumn="0" w:noHBand="0" w:noVBand="1"/>
      </w:tblPr>
      <w:tblGrid>
        <w:gridCol w:w="9464"/>
      </w:tblGrid>
      <w:tr w:rsidR="00E2148E" w:rsidRPr="00E50412" w14:paraId="5830D53E" w14:textId="77777777" w:rsidTr="00F51D53">
        <w:tc>
          <w:tcPr>
            <w:tcW w:w="9464" w:type="dxa"/>
            <w:shd w:val="clear" w:color="auto" w:fill="2F5496" w:themeFill="accent1" w:themeFillShade="BF"/>
          </w:tcPr>
          <w:p w14:paraId="057E452F" w14:textId="77777777" w:rsidR="00E2148E" w:rsidRPr="00E50412" w:rsidRDefault="00C10F0C" w:rsidP="00D6729D">
            <w:pPr>
              <w:contextualSpacing/>
              <w:rPr>
                <w:rFonts w:ascii="Arial" w:hAnsi="Arial" w:cs="Arial"/>
                <w:b/>
                <w:color w:val="FFFFFF" w:themeColor="background1"/>
              </w:rPr>
            </w:pPr>
            <w:r w:rsidRPr="00457C85">
              <w:rPr>
                <w:rFonts w:ascii="Arial" w:hAnsi="Arial" w:cs="Arial"/>
                <w:b/>
                <w:color w:val="FFFFFF" w:themeColor="background1"/>
              </w:rPr>
              <w:lastRenderedPageBreak/>
              <w:t>STANDARD 3 – STUDENT ASSESSMENT.  Assessment must be reliable and valid. The choice of assessment method must be appropriate to demonstrate achievement of the GDC learning outcomes. Assessors must be fit to perform the assessment task.</w:t>
            </w:r>
          </w:p>
        </w:tc>
      </w:tr>
      <w:tr w:rsidR="00E2148E" w:rsidRPr="00E50412" w14:paraId="333D82F8" w14:textId="77777777" w:rsidTr="00F51D53">
        <w:trPr>
          <w:trHeight w:val="1266"/>
        </w:trPr>
        <w:tc>
          <w:tcPr>
            <w:tcW w:w="9464" w:type="dxa"/>
          </w:tcPr>
          <w:p w14:paraId="64719C10" w14:textId="77777777" w:rsidR="00E2148E" w:rsidRDefault="00E2148E" w:rsidP="00D6729D">
            <w:pPr>
              <w:contextualSpacing/>
              <w:rPr>
                <w:rFonts w:ascii="Arial" w:eastAsia="Calibri" w:hAnsi="Arial" w:cs="Arial"/>
                <w:b/>
                <w:color w:val="000000" w:themeColor="text1"/>
              </w:rPr>
            </w:pPr>
          </w:p>
          <w:p w14:paraId="757D0B45" w14:textId="2748940F" w:rsidR="00C10F0C" w:rsidRDefault="005D5820" w:rsidP="00D6729D">
            <w:pPr>
              <w:contextualSpacing/>
              <w:rPr>
                <w:rFonts w:ascii="Arial" w:eastAsia="Calibri" w:hAnsi="Arial" w:cs="Arial"/>
                <w:b/>
                <w:iCs/>
                <w:color w:val="000000" w:themeColor="text1"/>
              </w:rPr>
            </w:pPr>
            <w:r>
              <w:rPr>
                <w:rFonts w:ascii="Arial" w:eastAsia="Calibri" w:hAnsi="Arial" w:cs="Arial"/>
                <w:b/>
                <w:color w:val="000000" w:themeColor="text1"/>
              </w:rPr>
              <w:t>P</w:t>
            </w:r>
            <w:r w:rsidR="00C10F0C">
              <w:rPr>
                <w:rFonts w:ascii="Arial" w:eastAsia="Calibri" w:hAnsi="Arial" w:cs="Arial"/>
                <w:b/>
                <w:color w:val="000000" w:themeColor="text1"/>
              </w:rPr>
              <w:t xml:space="preserve">12: </w:t>
            </w:r>
            <w:r w:rsidR="00C10F0C" w:rsidRPr="00C10F0C">
              <w:rPr>
                <w:rFonts w:ascii="Arial" w:eastAsia="Calibri" w:hAnsi="Arial" w:cs="Arial"/>
                <w:b/>
                <w:iCs/>
                <w:color w:val="000000" w:themeColor="text1"/>
              </w:rPr>
              <w:t>To make a recommendation for the award of a Certificate of Completion of Specialist Training (CCST), programme providers must be assured that specialty trainees have demonstrated achievement across the full range of learning outcomes in the relevant specialty curriculum approved by the GDC, and that they are fit to practise at the level of a specialist in the relevant specialty. This assurance should be underpinned by a coherent approach to the principles of assessment referred to in these standards.</w:t>
            </w:r>
            <w:r w:rsidR="00C10F0C">
              <w:rPr>
                <w:rFonts w:ascii="Arial" w:eastAsia="Calibri" w:hAnsi="Arial" w:cs="Arial"/>
                <w:b/>
                <w:iCs/>
                <w:color w:val="000000" w:themeColor="text1"/>
              </w:rPr>
              <w:t xml:space="preserve"> </w:t>
            </w:r>
            <w:r w:rsidR="00EA58BF">
              <w:rPr>
                <w:rFonts w:ascii="Arial" w:eastAsia="Calibri" w:hAnsi="Arial" w:cs="Arial"/>
                <w:b/>
                <w:iCs/>
                <w:color w:val="000000" w:themeColor="text1"/>
              </w:rPr>
              <w:t>(</w:t>
            </w:r>
            <w:r w:rsidR="00C10F0C">
              <w:rPr>
                <w:rFonts w:ascii="Arial" w:eastAsia="Calibri" w:hAnsi="Arial" w:cs="Arial"/>
                <w:b/>
                <w:iCs/>
                <w:color w:val="000000" w:themeColor="text1"/>
              </w:rPr>
              <w:t xml:space="preserve">Requirement </w:t>
            </w:r>
            <w:r w:rsidR="008B466F" w:rsidRPr="00166ACB">
              <w:rPr>
                <w:rFonts w:ascii="Arial" w:eastAsia="Calibri" w:hAnsi="Arial" w:cs="Arial"/>
                <w:b/>
                <w:iCs/>
                <w:color w:val="000000" w:themeColor="text1"/>
              </w:rPr>
              <w:t>Met</w:t>
            </w:r>
            <w:r w:rsidR="00EA58BF">
              <w:rPr>
                <w:rFonts w:ascii="Arial" w:eastAsia="Calibri" w:hAnsi="Arial" w:cs="Arial"/>
                <w:b/>
                <w:iCs/>
                <w:color w:val="000000" w:themeColor="text1"/>
              </w:rPr>
              <w:t>)</w:t>
            </w:r>
            <w:r w:rsidR="00C10F0C">
              <w:rPr>
                <w:rFonts w:ascii="Arial" w:eastAsia="Calibri" w:hAnsi="Arial" w:cs="Arial"/>
                <w:b/>
                <w:iCs/>
                <w:color w:val="000000" w:themeColor="text1"/>
              </w:rPr>
              <w:t>.</w:t>
            </w:r>
          </w:p>
          <w:p w14:paraId="4F903C35" w14:textId="6B62A7BA" w:rsidR="0002478D" w:rsidRDefault="0002478D" w:rsidP="00D6729D">
            <w:pPr>
              <w:contextualSpacing/>
              <w:rPr>
                <w:rFonts w:ascii="Arial" w:eastAsia="Calibri" w:hAnsi="Arial" w:cs="Arial"/>
                <w:b/>
                <w:iCs/>
                <w:color w:val="000000" w:themeColor="text1"/>
              </w:rPr>
            </w:pPr>
          </w:p>
          <w:p w14:paraId="25DB7AF6" w14:textId="675B5913" w:rsidR="007E286A" w:rsidRPr="00A34FB1" w:rsidRDefault="00300145" w:rsidP="007E286A">
            <w:pPr>
              <w:contextualSpacing/>
              <w:rPr>
                <w:rFonts w:ascii="Arial" w:eastAsia="Calibri" w:hAnsi="Arial" w:cs="Arial"/>
                <w:bCs/>
                <w:color w:val="000000" w:themeColor="text1"/>
              </w:rPr>
            </w:pPr>
            <w:r>
              <w:rPr>
                <w:rFonts w:ascii="Arial" w:eastAsia="Calibri" w:hAnsi="Arial" w:cs="Arial"/>
                <w:bCs/>
                <w:iCs/>
                <w:color w:val="000000" w:themeColor="text1"/>
              </w:rPr>
              <w:t xml:space="preserve">In the </w:t>
            </w:r>
            <w:r w:rsidR="00DE7CDA">
              <w:rPr>
                <w:rFonts w:ascii="Arial" w:eastAsia="Calibri" w:hAnsi="Arial" w:cs="Arial"/>
                <w:bCs/>
                <w:iCs/>
                <w:color w:val="000000" w:themeColor="text1"/>
              </w:rPr>
              <w:t>Self-Assessment</w:t>
            </w:r>
            <w:r>
              <w:rPr>
                <w:rFonts w:ascii="Arial" w:eastAsia="Calibri" w:hAnsi="Arial" w:cs="Arial"/>
                <w:bCs/>
                <w:iCs/>
                <w:color w:val="000000" w:themeColor="text1"/>
              </w:rPr>
              <w:t xml:space="preserve"> HEE SW TVW </w:t>
            </w:r>
            <w:r w:rsidR="00966373">
              <w:rPr>
                <w:rFonts w:ascii="Arial" w:eastAsia="Calibri" w:hAnsi="Arial" w:cs="Arial"/>
                <w:bCs/>
                <w:iCs/>
                <w:color w:val="000000" w:themeColor="text1"/>
              </w:rPr>
              <w:t>advised that they maintain a robust process from recruitment through to CCST recommendation</w:t>
            </w:r>
            <w:r w:rsidR="0068277F">
              <w:rPr>
                <w:rFonts w:ascii="Arial" w:eastAsia="Calibri" w:hAnsi="Arial" w:cs="Arial"/>
                <w:bCs/>
                <w:iCs/>
                <w:color w:val="000000" w:themeColor="text1"/>
              </w:rPr>
              <w:t xml:space="preserve"> and that they follow the processes as laid out in the Dental Gold Guide</w:t>
            </w:r>
            <w:r w:rsidR="00F827C2">
              <w:rPr>
                <w:rFonts w:ascii="Arial" w:eastAsia="Calibri" w:hAnsi="Arial" w:cs="Arial"/>
                <w:bCs/>
                <w:iCs/>
                <w:color w:val="000000" w:themeColor="text1"/>
              </w:rPr>
              <w:t xml:space="preserve"> (DGG)</w:t>
            </w:r>
            <w:r w:rsidR="0068277F">
              <w:rPr>
                <w:rFonts w:ascii="Arial" w:eastAsia="Calibri" w:hAnsi="Arial" w:cs="Arial"/>
                <w:bCs/>
                <w:iCs/>
                <w:color w:val="000000" w:themeColor="text1"/>
              </w:rPr>
              <w:t xml:space="preserve">. </w:t>
            </w:r>
            <w:r>
              <w:rPr>
                <w:rFonts w:ascii="Arial" w:eastAsia="Calibri" w:hAnsi="Arial" w:cs="Arial"/>
                <w:bCs/>
                <w:iCs/>
                <w:color w:val="000000" w:themeColor="text1"/>
              </w:rPr>
              <w:t>We were provided with</w:t>
            </w:r>
            <w:r w:rsidR="0002478D" w:rsidRPr="0002478D">
              <w:rPr>
                <w:rFonts w:ascii="Arial" w:eastAsia="Calibri" w:hAnsi="Arial" w:cs="Arial"/>
                <w:bCs/>
                <w:iCs/>
                <w:color w:val="000000" w:themeColor="text1"/>
              </w:rPr>
              <w:t xml:space="preserve"> evidence that the external SAC representatives on the ARCP panels for SW and TVW used the </w:t>
            </w:r>
            <w:r w:rsidR="0068277F" w:rsidRPr="0002478D">
              <w:rPr>
                <w:rFonts w:ascii="Arial" w:eastAsia="Calibri" w:hAnsi="Arial" w:cs="Arial"/>
                <w:bCs/>
                <w:iCs/>
                <w:color w:val="000000" w:themeColor="text1"/>
              </w:rPr>
              <w:t>appropriate</w:t>
            </w:r>
            <w:r w:rsidR="0002478D" w:rsidRPr="0002478D">
              <w:rPr>
                <w:rFonts w:ascii="Arial" w:eastAsia="Calibri" w:hAnsi="Arial" w:cs="Arial"/>
                <w:bCs/>
                <w:iCs/>
                <w:color w:val="000000" w:themeColor="text1"/>
              </w:rPr>
              <w:t xml:space="preserve"> form in</w:t>
            </w:r>
            <w:r w:rsidR="0068277F">
              <w:rPr>
                <w:rFonts w:ascii="Arial" w:eastAsia="Calibri" w:hAnsi="Arial" w:cs="Arial"/>
                <w:bCs/>
                <w:iCs/>
                <w:color w:val="000000" w:themeColor="text1"/>
              </w:rPr>
              <w:t xml:space="preserve"> </w:t>
            </w:r>
            <w:r w:rsidR="0002478D" w:rsidRPr="0002478D">
              <w:rPr>
                <w:rFonts w:ascii="Arial" w:eastAsia="Calibri" w:hAnsi="Arial" w:cs="Arial"/>
                <w:bCs/>
                <w:iCs/>
                <w:color w:val="000000" w:themeColor="text1"/>
              </w:rPr>
              <w:t xml:space="preserve">the </w:t>
            </w:r>
            <w:r w:rsidR="00F827C2">
              <w:rPr>
                <w:rFonts w:ascii="Arial" w:eastAsia="Calibri" w:hAnsi="Arial" w:cs="Arial"/>
                <w:bCs/>
                <w:iCs/>
                <w:color w:val="000000" w:themeColor="text1"/>
              </w:rPr>
              <w:t>DGG</w:t>
            </w:r>
            <w:r w:rsidR="0068277F">
              <w:rPr>
                <w:rFonts w:ascii="Arial" w:eastAsia="Calibri" w:hAnsi="Arial" w:cs="Arial"/>
                <w:bCs/>
                <w:iCs/>
                <w:color w:val="000000" w:themeColor="text1"/>
              </w:rPr>
              <w:t xml:space="preserve"> to </w:t>
            </w:r>
            <w:r w:rsidR="0002478D" w:rsidRPr="0002478D">
              <w:rPr>
                <w:rFonts w:ascii="Arial" w:eastAsia="Calibri" w:hAnsi="Arial" w:cs="Arial"/>
                <w:bCs/>
                <w:iCs/>
                <w:color w:val="000000" w:themeColor="text1"/>
              </w:rPr>
              <w:t>provide their repor</w:t>
            </w:r>
            <w:r w:rsidR="005D061E">
              <w:rPr>
                <w:rFonts w:ascii="Arial" w:eastAsia="Calibri" w:hAnsi="Arial" w:cs="Arial"/>
                <w:bCs/>
                <w:iCs/>
                <w:color w:val="000000" w:themeColor="text1"/>
              </w:rPr>
              <w:t>t</w:t>
            </w:r>
            <w:r w:rsidR="00D1095D">
              <w:rPr>
                <w:rFonts w:ascii="Arial" w:eastAsia="Calibri" w:hAnsi="Arial" w:cs="Arial"/>
                <w:bCs/>
                <w:iCs/>
                <w:color w:val="000000" w:themeColor="text1"/>
              </w:rPr>
              <w:t>s</w:t>
            </w:r>
            <w:r w:rsidR="005D061E">
              <w:rPr>
                <w:rFonts w:ascii="Arial" w:eastAsia="Calibri" w:hAnsi="Arial" w:cs="Arial"/>
                <w:bCs/>
                <w:iCs/>
                <w:color w:val="000000" w:themeColor="text1"/>
              </w:rPr>
              <w:t>.</w:t>
            </w:r>
            <w:r w:rsidR="009A6606">
              <w:rPr>
                <w:rFonts w:ascii="Arial" w:eastAsia="Calibri" w:hAnsi="Arial" w:cs="Arial"/>
                <w:bCs/>
                <w:iCs/>
                <w:color w:val="000000" w:themeColor="text1"/>
              </w:rPr>
              <w:t xml:space="preserve"> </w:t>
            </w:r>
            <w:r w:rsidR="00EB7496">
              <w:rPr>
                <w:rFonts w:ascii="Arial" w:eastAsia="Calibri" w:hAnsi="Arial" w:cs="Arial"/>
                <w:bCs/>
                <w:iCs/>
                <w:color w:val="000000" w:themeColor="text1"/>
              </w:rPr>
              <w:t>This confirmed</w:t>
            </w:r>
            <w:r w:rsidR="0002478D" w:rsidRPr="0002478D">
              <w:rPr>
                <w:rFonts w:ascii="Arial" w:eastAsia="Calibri" w:hAnsi="Arial" w:cs="Arial"/>
                <w:bCs/>
                <w:iCs/>
                <w:color w:val="000000" w:themeColor="text1"/>
              </w:rPr>
              <w:t xml:space="preserve"> that all the necessary evidence had been provided and the quality of the training process was graded at </w:t>
            </w:r>
            <w:r w:rsidR="00141218">
              <w:rPr>
                <w:rFonts w:ascii="Arial" w:eastAsia="Calibri" w:hAnsi="Arial" w:cs="Arial"/>
                <w:bCs/>
                <w:iCs/>
                <w:color w:val="000000" w:themeColor="text1"/>
              </w:rPr>
              <w:t>4</w:t>
            </w:r>
            <w:r w:rsidR="008013D0">
              <w:rPr>
                <w:rFonts w:ascii="Arial" w:eastAsia="Calibri" w:hAnsi="Arial" w:cs="Arial"/>
                <w:bCs/>
                <w:iCs/>
                <w:color w:val="000000" w:themeColor="text1"/>
              </w:rPr>
              <w:t xml:space="preserve"> </w:t>
            </w:r>
            <w:r w:rsidR="00141218">
              <w:rPr>
                <w:rFonts w:ascii="Arial" w:eastAsia="Calibri" w:hAnsi="Arial" w:cs="Arial"/>
                <w:bCs/>
                <w:iCs/>
                <w:color w:val="000000" w:themeColor="text1"/>
              </w:rPr>
              <w:t xml:space="preserve">(above average) or </w:t>
            </w:r>
            <w:r w:rsidR="0002478D" w:rsidRPr="0002478D">
              <w:rPr>
                <w:rFonts w:ascii="Arial" w:eastAsia="Calibri" w:hAnsi="Arial" w:cs="Arial"/>
                <w:bCs/>
                <w:iCs/>
                <w:color w:val="000000" w:themeColor="text1"/>
              </w:rPr>
              <w:t>5</w:t>
            </w:r>
            <w:r w:rsidR="00FC59F8">
              <w:rPr>
                <w:rFonts w:ascii="Arial" w:eastAsia="Calibri" w:hAnsi="Arial" w:cs="Arial"/>
                <w:bCs/>
                <w:iCs/>
                <w:color w:val="000000" w:themeColor="text1"/>
              </w:rPr>
              <w:t xml:space="preserve"> (</w:t>
            </w:r>
            <w:r w:rsidR="0002478D" w:rsidRPr="0002478D">
              <w:rPr>
                <w:rFonts w:ascii="Arial" w:eastAsia="Calibri" w:hAnsi="Arial" w:cs="Arial"/>
                <w:bCs/>
                <w:iCs/>
                <w:color w:val="000000" w:themeColor="text1"/>
              </w:rPr>
              <w:t>excellent</w:t>
            </w:r>
            <w:r w:rsidR="00FC59F8">
              <w:rPr>
                <w:rFonts w:ascii="Arial" w:eastAsia="Calibri" w:hAnsi="Arial" w:cs="Arial"/>
                <w:bCs/>
                <w:iCs/>
                <w:color w:val="000000" w:themeColor="text1"/>
              </w:rPr>
              <w:t>)</w:t>
            </w:r>
            <w:r w:rsidR="0002478D" w:rsidRPr="0002478D">
              <w:rPr>
                <w:rFonts w:ascii="Arial" w:eastAsia="Calibri" w:hAnsi="Arial" w:cs="Arial"/>
                <w:bCs/>
                <w:iCs/>
                <w:color w:val="000000" w:themeColor="text1"/>
              </w:rPr>
              <w:t xml:space="preserve">. </w:t>
            </w:r>
            <w:r w:rsidR="00141218" w:rsidRPr="005A3BC4">
              <w:rPr>
                <w:rFonts w:ascii="Arial" w:eastAsia="Calibri" w:hAnsi="Arial" w:cs="Arial"/>
                <w:bCs/>
                <w:color w:val="000000" w:themeColor="text1"/>
              </w:rPr>
              <w:t>The ARCP process ensures that all curriculum learning outcomes have been evidenced through the specialist training portfolio.</w:t>
            </w:r>
            <w:r w:rsidR="00141218" w:rsidRPr="00A34FB1">
              <w:rPr>
                <w:rFonts w:ascii="Arial" w:eastAsia="Calibri" w:hAnsi="Arial" w:cs="Arial"/>
                <w:bCs/>
                <w:color w:val="000000" w:themeColor="text1"/>
              </w:rPr>
              <w:t xml:space="preserve"> </w:t>
            </w:r>
            <w:r w:rsidR="00141218">
              <w:rPr>
                <w:rFonts w:ascii="Arial" w:eastAsia="Calibri" w:hAnsi="Arial" w:cs="Arial"/>
                <w:bCs/>
                <w:iCs/>
                <w:color w:val="000000" w:themeColor="text1"/>
              </w:rPr>
              <w:t xml:space="preserve">The </w:t>
            </w:r>
            <w:r w:rsidR="00141218">
              <w:rPr>
                <w:rFonts w:ascii="Arial" w:eastAsia="Calibri" w:hAnsi="Arial" w:cs="Arial"/>
                <w:bCs/>
                <w:color w:val="000000" w:themeColor="text1"/>
              </w:rPr>
              <w:t>e</w:t>
            </w:r>
            <w:r w:rsidR="007E286A" w:rsidRPr="00A34FB1">
              <w:rPr>
                <w:rFonts w:ascii="Arial" w:eastAsia="Calibri" w:hAnsi="Arial" w:cs="Arial"/>
                <w:bCs/>
                <w:color w:val="000000" w:themeColor="text1"/>
              </w:rPr>
              <w:t xml:space="preserve">xternal and lay reports presented confirm good oversight of </w:t>
            </w:r>
            <w:r w:rsidR="007E286A">
              <w:rPr>
                <w:rFonts w:ascii="Arial" w:eastAsia="Calibri" w:hAnsi="Arial" w:cs="Arial"/>
                <w:bCs/>
                <w:color w:val="000000" w:themeColor="text1"/>
              </w:rPr>
              <w:t xml:space="preserve">the </w:t>
            </w:r>
            <w:r w:rsidR="007E286A" w:rsidRPr="00A34FB1">
              <w:rPr>
                <w:rFonts w:ascii="Arial" w:eastAsia="Calibri" w:hAnsi="Arial" w:cs="Arial"/>
                <w:bCs/>
                <w:color w:val="000000" w:themeColor="text1"/>
              </w:rPr>
              <w:t>process</w:t>
            </w:r>
            <w:r w:rsidR="007E286A">
              <w:rPr>
                <w:rFonts w:ascii="Arial" w:eastAsia="Calibri" w:hAnsi="Arial" w:cs="Arial"/>
                <w:bCs/>
                <w:color w:val="000000" w:themeColor="text1"/>
              </w:rPr>
              <w:t xml:space="preserve"> </w:t>
            </w:r>
          </w:p>
          <w:p w14:paraId="2394139C" w14:textId="70090130" w:rsidR="00985A20" w:rsidRDefault="00985A20" w:rsidP="00D6729D">
            <w:pPr>
              <w:contextualSpacing/>
              <w:rPr>
                <w:rFonts w:ascii="Arial" w:eastAsia="Calibri" w:hAnsi="Arial" w:cs="Arial"/>
                <w:bCs/>
                <w:iCs/>
                <w:color w:val="000000" w:themeColor="text1"/>
              </w:rPr>
            </w:pPr>
          </w:p>
          <w:p w14:paraId="4E3F4D6E" w14:textId="1B78A18F" w:rsidR="003F7BDE" w:rsidRDefault="00985A20" w:rsidP="00D6729D">
            <w:pPr>
              <w:contextualSpacing/>
            </w:pPr>
            <w:r>
              <w:rPr>
                <w:rFonts w:ascii="Arial" w:eastAsia="Calibri" w:hAnsi="Arial" w:cs="Arial"/>
                <w:bCs/>
                <w:iCs/>
                <w:color w:val="000000" w:themeColor="text1"/>
              </w:rPr>
              <w:t xml:space="preserve">We were also provided with evidence </w:t>
            </w:r>
            <w:r w:rsidR="0002478D" w:rsidRPr="0002478D">
              <w:rPr>
                <w:rFonts w:ascii="Arial" w:eastAsia="Calibri" w:hAnsi="Arial" w:cs="Arial"/>
                <w:bCs/>
                <w:iCs/>
                <w:color w:val="000000" w:themeColor="text1"/>
              </w:rPr>
              <w:t>that</w:t>
            </w:r>
            <w:r>
              <w:rPr>
                <w:rFonts w:ascii="Arial" w:eastAsia="Calibri" w:hAnsi="Arial" w:cs="Arial"/>
                <w:bCs/>
                <w:iCs/>
                <w:color w:val="000000" w:themeColor="text1"/>
              </w:rPr>
              <w:t xml:space="preserve"> confirms</w:t>
            </w:r>
            <w:r w:rsidR="0002478D" w:rsidRPr="0002478D">
              <w:rPr>
                <w:rFonts w:ascii="Arial" w:eastAsia="Calibri" w:hAnsi="Arial" w:cs="Arial"/>
                <w:bCs/>
                <w:iCs/>
                <w:color w:val="000000" w:themeColor="text1"/>
              </w:rPr>
              <w:t xml:space="preserve"> </w:t>
            </w:r>
            <w:r w:rsidR="00D1095D">
              <w:rPr>
                <w:rFonts w:ascii="Arial" w:eastAsia="Calibri" w:hAnsi="Arial" w:cs="Arial"/>
                <w:bCs/>
                <w:iCs/>
                <w:color w:val="000000" w:themeColor="text1"/>
              </w:rPr>
              <w:t xml:space="preserve">that </w:t>
            </w:r>
            <w:r w:rsidR="0002478D" w:rsidRPr="0002478D">
              <w:rPr>
                <w:rFonts w:ascii="Arial" w:eastAsia="Calibri" w:hAnsi="Arial" w:cs="Arial"/>
                <w:bCs/>
                <w:iCs/>
                <w:color w:val="000000" w:themeColor="text1"/>
              </w:rPr>
              <w:t xml:space="preserve">there is close </w:t>
            </w:r>
            <w:r w:rsidRPr="0002478D">
              <w:rPr>
                <w:rFonts w:ascii="Arial" w:eastAsia="Calibri" w:hAnsi="Arial" w:cs="Arial"/>
                <w:bCs/>
                <w:iCs/>
                <w:color w:val="000000" w:themeColor="text1"/>
              </w:rPr>
              <w:t>supervision</w:t>
            </w:r>
            <w:r w:rsidR="0002478D" w:rsidRPr="0002478D">
              <w:rPr>
                <w:rFonts w:ascii="Arial" w:eastAsia="Calibri" w:hAnsi="Arial" w:cs="Arial"/>
                <w:bCs/>
                <w:iCs/>
                <w:color w:val="000000" w:themeColor="text1"/>
              </w:rPr>
              <w:t xml:space="preserve"> of the work of specialty trainees. </w:t>
            </w:r>
            <w:r w:rsidR="003F7BDE">
              <w:rPr>
                <w:rFonts w:ascii="Arial" w:eastAsia="Calibri" w:hAnsi="Arial" w:cs="Arial"/>
                <w:bCs/>
                <w:iCs/>
                <w:color w:val="000000" w:themeColor="text1"/>
              </w:rPr>
              <w:t xml:space="preserve">The </w:t>
            </w:r>
            <w:r w:rsidR="0002478D" w:rsidRPr="0002478D">
              <w:rPr>
                <w:rFonts w:ascii="Arial" w:eastAsia="Calibri" w:hAnsi="Arial" w:cs="Arial"/>
                <w:bCs/>
                <w:iCs/>
                <w:color w:val="000000" w:themeColor="text1"/>
              </w:rPr>
              <w:t xml:space="preserve">STCs appear to undertake the responsibilities outlined in the </w:t>
            </w:r>
            <w:r w:rsidR="00F827C2">
              <w:rPr>
                <w:rFonts w:ascii="Arial" w:eastAsia="Calibri" w:hAnsi="Arial" w:cs="Arial"/>
                <w:bCs/>
                <w:iCs/>
                <w:color w:val="000000" w:themeColor="text1"/>
              </w:rPr>
              <w:t>DGG</w:t>
            </w:r>
            <w:r w:rsidR="0002478D" w:rsidRPr="0002478D">
              <w:rPr>
                <w:rFonts w:ascii="Arial" w:eastAsia="Calibri" w:hAnsi="Arial" w:cs="Arial"/>
                <w:bCs/>
                <w:iCs/>
                <w:color w:val="000000" w:themeColor="text1"/>
              </w:rPr>
              <w:t xml:space="preserve"> ensuring that </w:t>
            </w:r>
            <w:r w:rsidR="003F7BDE">
              <w:rPr>
                <w:rFonts w:ascii="Arial" w:eastAsia="Calibri" w:hAnsi="Arial" w:cs="Arial"/>
                <w:bCs/>
                <w:iCs/>
                <w:color w:val="000000" w:themeColor="text1"/>
              </w:rPr>
              <w:t>specialty trainees</w:t>
            </w:r>
            <w:r w:rsidR="0002478D" w:rsidRPr="0002478D">
              <w:rPr>
                <w:rFonts w:ascii="Arial" w:eastAsia="Calibri" w:hAnsi="Arial" w:cs="Arial"/>
                <w:bCs/>
                <w:iCs/>
                <w:color w:val="000000" w:themeColor="text1"/>
              </w:rPr>
              <w:t xml:space="preserve"> are demonstrating achievement of the learning outcomes in the relevant specialty. From the documentation provided, it appears that each </w:t>
            </w:r>
            <w:r w:rsidR="00141218">
              <w:rPr>
                <w:rFonts w:ascii="Arial" w:eastAsia="Calibri" w:hAnsi="Arial" w:cs="Arial"/>
                <w:bCs/>
                <w:iCs/>
                <w:color w:val="000000" w:themeColor="text1"/>
              </w:rPr>
              <w:t>Specialty T</w:t>
            </w:r>
            <w:r w:rsidR="0002478D" w:rsidRPr="0002478D">
              <w:rPr>
                <w:rFonts w:ascii="Arial" w:eastAsia="Calibri" w:hAnsi="Arial" w:cs="Arial"/>
                <w:bCs/>
                <w:iCs/>
                <w:color w:val="000000" w:themeColor="text1"/>
              </w:rPr>
              <w:t>rainee's progress is carefully monitored and that t</w:t>
            </w:r>
            <w:r w:rsidR="00141218">
              <w:rPr>
                <w:rFonts w:ascii="Arial" w:eastAsia="Calibri" w:hAnsi="Arial" w:cs="Arial"/>
                <w:bCs/>
                <w:iCs/>
                <w:color w:val="000000" w:themeColor="text1"/>
              </w:rPr>
              <w:t>hey</w:t>
            </w:r>
            <w:r w:rsidR="0002478D" w:rsidRPr="0002478D">
              <w:rPr>
                <w:rFonts w:ascii="Arial" w:eastAsia="Calibri" w:hAnsi="Arial" w:cs="Arial"/>
                <w:bCs/>
                <w:iCs/>
                <w:color w:val="000000" w:themeColor="text1"/>
              </w:rPr>
              <w:t xml:space="preserve"> are well supported by </w:t>
            </w:r>
            <w:r w:rsidR="00141218">
              <w:rPr>
                <w:rFonts w:ascii="Arial" w:eastAsia="Calibri" w:hAnsi="Arial" w:cs="Arial"/>
                <w:bCs/>
                <w:iCs/>
                <w:color w:val="000000" w:themeColor="text1"/>
              </w:rPr>
              <w:t xml:space="preserve">CSs </w:t>
            </w:r>
            <w:r w:rsidR="0002478D" w:rsidRPr="0002478D">
              <w:rPr>
                <w:rFonts w:ascii="Arial" w:eastAsia="Calibri" w:hAnsi="Arial" w:cs="Arial"/>
                <w:bCs/>
                <w:iCs/>
                <w:color w:val="000000" w:themeColor="text1"/>
              </w:rPr>
              <w:t>and</w:t>
            </w:r>
            <w:r w:rsidR="00141218">
              <w:rPr>
                <w:rFonts w:ascii="Arial" w:eastAsia="Calibri" w:hAnsi="Arial" w:cs="Arial"/>
                <w:bCs/>
                <w:iCs/>
                <w:color w:val="000000" w:themeColor="text1"/>
              </w:rPr>
              <w:t xml:space="preserve"> ESs</w:t>
            </w:r>
            <w:r w:rsidR="0002478D" w:rsidRPr="0002478D">
              <w:rPr>
                <w:rFonts w:ascii="Arial" w:eastAsia="Calibri" w:hAnsi="Arial" w:cs="Arial"/>
                <w:bCs/>
                <w:iCs/>
                <w:color w:val="000000" w:themeColor="text1"/>
              </w:rPr>
              <w:t xml:space="preserve">, </w:t>
            </w:r>
            <w:r w:rsidR="003F7BDE">
              <w:rPr>
                <w:rFonts w:ascii="Arial" w:eastAsia="Calibri" w:hAnsi="Arial" w:cs="Arial"/>
                <w:bCs/>
                <w:iCs/>
                <w:color w:val="000000" w:themeColor="text1"/>
              </w:rPr>
              <w:t>TPDs</w:t>
            </w:r>
            <w:r w:rsidR="0002478D" w:rsidRPr="0002478D">
              <w:rPr>
                <w:rFonts w:ascii="Arial" w:eastAsia="Calibri" w:hAnsi="Arial" w:cs="Arial"/>
                <w:bCs/>
                <w:iCs/>
                <w:color w:val="000000" w:themeColor="text1"/>
              </w:rPr>
              <w:t xml:space="preserve"> and </w:t>
            </w:r>
            <w:r w:rsidR="005953E0" w:rsidRPr="0002478D">
              <w:rPr>
                <w:rFonts w:ascii="Arial" w:eastAsia="Calibri" w:hAnsi="Arial" w:cs="Arial"/>
                <w:bCs/>
                <w:iCs/>
                <w:color w:val="000000" w:themeColor="text1"/>
              </w:rPr>
              <w:t>PGDD.</w:t>
            </w:r>
            <w:r w:rsidR="00057086">
              <w:t xml:space="preserve"> </w:t>
            </w:r>
          </w:p>
          <w:p w14:paraId="6D6866DE" w14:textId="77777777" w:rsidR="003F7BDE" w:rsidRDefault="003F7BDE" w:rsidP="00D6729D">
            <w:pPr>
              <w:contextualSpacing/>
            </w:pPr>
          </w:p>
          <w:p w14:paraId="184FECAB" w14:textId="17CA360A" w:rsidR="005953E0" w:rsidRDefault="005953E0" w:rsidP="00D6729D">
            <w:pPr>
              <w:contextualSpacing/>
              <w:rPr>
                <w:rFonts w:ascii="Arial" w:eastAsia="Calibri" w:hAnsi="Arial" w:cs="Arial"/>
                <w:bCs/>
                <w:iCs/>
                <w:color w:val="000000" w:themeColor="text1"/>
              </w:rPr>
            </w:pPr>
            <w:r>
              <w:rPr>
                <w:rFonts w:ascii="Arial" w:eastAsia="Calibri" w:hAnsi="Arial" w:cs="Arial"/>
                <w:bCs/>
                <w:iCs/>
                <w:color w:val="000000" w:themeColor="text1"/>
              </w:rPr>
              <w:t xml:space="preserve">We consider this </w:t>
            </w:r>
            <w:r w:rsidR="00E00A8D">
              <w:rPr>
                <w:rFonts w:ascii="Arial" w:eastAsia="Calibri" w:hAnsi="Arial" w:cs="Arial"/>
                <w:bCs/>
                <w:iCs/>
                <w:color w:val="000000" w:themeColor="text1"/>
              </w:rPr>
              <w:t>R</w:t>
            </w:r>
            <w:r>
              <w:rPr>
                <w:rFonts w:ascii="Arial" w:eastAsia="Calibri" w:hAnsi="Arial" w:cs="Arial"/>
                <w:bCs/>
                <w:iCs/>
                <w:color w:val="000000" w:themeColor="text1"/>
              </w:rPr>
              <w:t>equirement to be</w:t>
            </w:r>
            <w:r w:rsidR="00057086" w:rsidRPr="00057086">
              <w:rPr>
                <w:rFonts w:ascii="Arial" w:eastAsia="Calibri" w:hAnsi="Arial" w:cs="Arial"/>
                <w:bCs/>
                <w:iCs/>
                <w:color w:val="000000" w:themeColor="text1"/>
              </w:rPr>
              <w:t xml:space="preserve"> </w:t>
            </w:r>
            <w:r w:rsidR="007570C9">
              <w:rPr>
                <w:rFonts w:ascii="Arial" w:eastAsia="Calibri" w:hAnsi="Arial" w:cs="Arial"/>
                <w:b/>
                <w:iCs/>
                <w:color w:val="000000" w:themeColor="text1"/>
              </w:rPr>
              <w:t>m</w:t>
            </w:r>
            <w:r w:rsidR="0019015A">
              <w:rPr>
                <w:rFonts w:ascii="Arial" w:eastAsia="Calibri" w:hAnsi="Arial" w:cs="Arial"/>
                <w:b/>
                <w:iCs/>
                <w:color w:val="000000" w:themeColor="text1"/>
              </w:rPr>
              <w:t>et.</w:t>
            </w:r>
          </w:p>
          <w:p w14:paraId="3344BFFA" w14:textId="77777777" w:rsidR="008B466F" w:rsidRDefault="008B466F" w:rsidP="00D6729D">
            <w:pPr>
              <w:contextualSpacing/>
              <w:rPr>
                <w:rFonts w:ascii="Arial" w:eastAsia="Calibri" w:hAnsi="Arial" w:cs="Arial"/>
                <w:b/>
                <w:color w:val="000000" w:themeColor="text1"/>
              </w:rPr>
            </w:pPr>
          </w:p>
          <w:p w14:paraId="0B5C2FEE" w14:textId="55BFF4E2" w:rsidR="00E2148E" w:rsidRDefault="005D5820" w:rsidP="00D6729D">
            <w:pPr>
              <w:contextualSpacing/>
              <w:rPr>
                <w:rFonts w:ascii="Arial" w:eastAsia="Calibri" w:hAnsi="Arial" w:cs="Arial"/>
                <w:b/>
                <w:iCs/>
                <w:color w:val="000000" w:themeColor="text1"/>
              </w:rPr>
            </w:pPr>
            <w:r>
              <w:rPr>
                <w:rFonts w:ascii="Arial" w:eastAsia="Calibri" w:hAnsi="Arial" w:cs="Arial"/>
                <w:b/>
                <w:color w:val="000000" w:themeColor="text1"/>
              </w:rPr>
              <w:t>P</w:t>
            </w:r>
            <w:r w:rsidR="00E2148E">
              <w:rPr>
                <w:rFonts w:ascii="Arial" w:eastAsia="Calibri" w:hAnsi="Arial" w:cs="Arial"/>
                <w:b/>
                <w:color w:val="000000" w:themeColor="text1"/>
              </w:rPr>
              <w:t xml:space="preserve">13: </w:t>
            </w:r>
            <w:r w:rsidR="00C10F0C" w:rsidRPr="00C10F0C">
              <w:rPr>
                <w:rFonts w:ascii="Arial" w:eastAsia="Calibri" w:hAnsi="Arial" w:cs="Arial"/>
                <w:b/>
                <w:iCs/>
                <w:color w:val="000000" w:themeColor="text1"/>
              </w:rPr>
              <w:t>Programme providers must demonstrate that assessments are fit for purpose and deliver results which are valid and reliable. Assessment conclusions should include more than one sample of performance. (Providers must demonstrate a rationale for any divergence from this principle.) Non-summative assessments must utilise feedback collected from a variety of sources, which may include other members of the dental team, peers, patients and/or customers.</w:t>
            </w:r>
            <w:r w:rsidR="00C10F0C">
              <w:rPr>
                <w:rFonts w:ascii="Arial" w:eastAsia="Calibri" w:hAnsi="Arial" w:cs="Arial"/>
                <w:b/>
                <w:iCs/>
                <w:color w:val="000000" w:themeColor="text1"/>
              </w:rPr>
              <w:t xml:space="preserve"> </w:t>
            </w:r>
            <w:r w:rsidR="00EA58BF">
              <w:rPr>
                <w:rFonts w:ascii="Arial" w:eastAsia="Calibri" w:hAnsi="Arial" w:cs="Arial"/>
                <w:b/>
                <w:iCs/>
                <w:color w:val="000000" w:themeColor="text1"/>
              </w:rPr>
              <w:t>(</w:t>
            </w:r>
            <w:r w:rsidR="00C10F0C">
              <w:rPr>
                <w:rFonts w:ascii="Arial" w:eastAsia="Calibri" w:hAnsi="Arial" w:cs="Arial"/>
                <w:b/>
                <w:iCs/>
                <w:color w:val="000000" w:themeColor="text1"/>
              </w:rPr>
              <w:t>Requirement</w:t>
            </w:r>
            <w:r w:rsidR="008B466F" w:rsidRPr="00B5269F">
              <w:rPr>
                <w:rFonts w:ascii="Arial" w:eastAsia="Calibri" w:hAnsi="Arial" w:cs="Arial"/>
                <w:b/>
                <w:iCs/>
                <w:color w:val="000000" w:themeColor="text1"/>
              </w:rPr>
              <w:t xml:space="preserve"> Met</w:t>
            </w:r>
            <w:r w:rsidR="00EA58BF">
              <w:rPr>
                <w:rFonts w:ascii="Arial" w:eastAsia="Calibri" w:hAnsi="Arial" w:cs="Arial"/>
                <w:b/>
                <w:iCs/>
                <w:color w:val="000000" w:themeColor="text1"/>
              </w:rPr>
              <w:t>)</w:t>
            </w:r>
            <w:r w:rsidR="00C10F0C">
              <w:rPr>
                <w:rFonts w:ascii="Arial" w:eastAsia="Calibri" w:hAnsi="Arial" w:cs="Arial"/>
                <w:b/>
                <w:iCs/>
                <w:color w:val="000000" w:themeColor="text1"/>
              </w:rPr>
              <w:t>.</w:t>
            </w:r>
          </w:p>
          <w:p w14:paraId="49C0DF40" w14:textId="07417E48" w:rsidR="000C5D8C" w:rsidRDefault="000C5D8C" w:rsidP="00D6729D">
            <w:pPr>
              <w:contextualSpacing/>
              <w:rPr>
                <w:rFonts w:ascii="Arial" w:eastAsia="Calibri" w:hAnsi="Arial" w:cs="Arial"/>
                <w:b/>
                <w:iCs/>
                <w:color w:val="000000" w:themeColor="text1"/>
              </w:rPr>
            </w:pPr>
          </w:p>
          <w:p w14:paraId="64C19927" w14:textId="7DDAA2EB" w:rsidR="00AC6C75" w:rsidRDefault="00DC17BA" w:rsidP="000C5D8C">
            <w:pPr>
              <w:contextualSpacing/>
              <w:rPr>
                <w:rFonts w:ascii="Arial" w:eastAsia="Calibri" w:hAnsi="Arial" w:cs="Arial"/>
                <w:bCs/>
                <w:iCs/>
                <w:color w:val="000000" w:themeColor="text1"/>
              </w:rPr>
            </w:pPr>
            <w:r>
              <w:rPr>
                <w:rFonts w:ascii="Arial" w:eastAsia="Calibri" w:hAnsi="Arial" w:cs="Arial"/>
                <w:bCs/>
                <w:iCs/>
                <w:color w:val="000000" w:themeColor="text1"/>
              </w:rPr>
              <w:t xml:space="preserve">The </w:t>
            </w:r>
            <w:r w:rsidR="003C0693">
              <w:rPr>
                <w:rFonts w:ascii="Arial" w:eastAsia="Calibri" w:hAnsi="Arial" w:cs="Arial"/>
                <w:bCs/>
                <w:iCs/>
                <w:color w:val="000000" w:themeColor="text1"/>
              </w:rPr>
              <w:t xml:space="preserve">Overview of Quality </w:t>
            </w:r>
            <w:r w:rsidR="00F827C2">
              <w:rPr>
                <w:rFonts w:ascii="Arial" w:eastAsia="Calibri" w:hAnsi="Arial" w:cs="Arial"/>
                <w:bCs/>
                <w:iCs/>
                <w:color w:val="000000" w:themeColor="text1"/>
              </w:rPr>
              <w:t>C</w:t>
            </w:r>
            <w:r w:rsidR="003C0693">
              <w:rPr>
                <w:rFonts w:ascii="Arial" w:eastAsia="Calibri" w:hAnsi="Arial" w:cs="Arial"/>
                <w:bCs/>
                <w:iCs/>
                <w:color w:val="000000" w:themeColor="text1"/>
              </w:rPr>
              <w:t>ontrol measure</w:t>
            </w:r>
            <w:r>
              <w:rPr>
                <w:rFonts w:ascii="Arial" w:eastAsia="Calibri" w:hAnsi="Arial" w:cs="Arial"/>
                <w:bCs/>
                <w:iCs/>
                <w:color w:val="000000" w:themeColor="text1"/>
              </w:rPr>
              <w:t xml:space="preserve"> documents</w:t>
            </w:r>
            <w:r w:rsidR="00567A90">
              <w:rPr>
                <w:rFonts w:ascii="Arial" w:eastAsia="Calibri" w:hAnsi="Arial" w:cs="Arial"/>
                <w:bCs/>
                <w:iCs/>
                <w:color w:val="000000" w:themeColor="text1"/>
              </w:rPr>
              <w:t xml:space="preserve"> provided to us</w:t>
            </w:r>
            <w:r w:rsidR="003C0693">
              <w:rPr>
                <w:rFonts w:ascii="Arial" w:eastAsia="Calibri" w:hAnsi="Arial" w:cs="Arial"/>
                <w:bCs/>
                <w:iCs/>
                <w:color w:val="000000" w:themeColor="text1"/>
              </w:rPr>
              <w:t xml:space="preserve"> for both HEE SW and TVW </w:t>
            </w:r>
            <w:r w:rsidR="000C5D8C" w:rsidRPr="000C5D8C">
              <w:rPr>
                <w:rFonts w:ascii="Arial" w:eastAsia="Calibri" w:hAnsi="Arial" w:cs="Arial"/>
                <w:bCs/>
                <w:iCs/>
                <w:color w:val="000000" w:themeColor="text1"/>
              </w:rPr>
              <w:t>set out the Quality Management processes</w:t>
            </w:r>
            <w:r w:rsidR="002208FD">
              <w:rPr>
                <w:rFonts w:ascii="Arial" w:eastAsia="Calibri" w:hAnsi="Arial" w:cs="Arial"/>
                <w:bCs/>
                <w:iCs/>
                <w:color w:val="000000" w:themeColor="text1"/>
              </w:rPr>
              <w:t xml:space="preserve"> that are explained in the </w:t>
            </w:r>
            <w:r w:rsidR="00F9380B">
              <w:rPr>
                <w:rFonts w:ascii="Arial" w:eastAsia="Calibri" w:hAnsi="Arial" w:cs="Arial"/>
                <w:bCs/>
                <w:iCs/>
                <w:color w:val="000000" w:themeColor="text1"/>
              </w:rPr>
              <w:t>self-assessment</w:t>
            </w:r>
            <w:r w:rsidR="000C5D8C" w:rsidRPr="000C5D8C">
              <w:rPr>
                <w:rFonts w:ascii="Arial" w:eastAsia="Calibri" w:hAnsi="Arial" w:cs="Arial"/>
                <w:bCs/>
                <w:iCs/>
                <w:color w:val="000000" w:themeColor="text1"/>
              </w:rPr>
              <w:t xml:space="preserve">. This </w:t>
            </w:r>
            <w:r w:rsidR="00695D88" w:rsidRPr="000C5D8C">
              <w:rPr>
                <w:rFonts w:ascii="Arial" w:eastAsia="Calibri" w:hAnsi="Arial" w:cs="Arial"/>
                <w:bCs/>
                <w:iCs/>
                <w:color w:val="000000" w:themeColor="text1"/>
              </w:rPr>
              <w:t>process,</w:t>
            </w:r>
            <w:r w:rsidR="000C5D8C" w:rsidRPr="000C5D8C">
              <w:rPr>
                <w:rFonts w:ascii="Arial" w:eastAsia="Calibri" w:hAnsi="Arial" w:cs="Arial"/>
                <w:bCs/>
                <w:iCs/>
                <w:color w:val="000000" w:themeColor="text1"/>
              </w:rPr>
              <w:t xml:space="preserve"> which includes obtaining feedback from Specialty Trainees through various means; from Specialty Training Committees and external members of ARCPs</w:t>
            </w:r>
            <w:r w:rsidR="009559A4">
              <w:rPr>
                <w:rFonts w:ascii="Arial" w:eastAsia="Calibri" w:hAnsi="Arial" w:cs="Arial"/>
                <w:bCs/>
                <w:iCs/>
                <w:color w:val="000000" w:themeColor="text1"/>
              </w:rPr>
              <w:t>,</w:t>
            </w:r>
            <w:r w:rsidR="000C5D8C" w:rsidRPr="000C5D8C">
              <w:rPr>
                <w:rFonts w:ascii="Arial" w:eastAsia="Calibri" w:hAnsi="Arial" w:cs="Arial"/>
                <w:bCs/>
                <w:iCs/>
                <w:color w:val="000000" w:themeColor="text1"/>
              </w:rPr>
              <w:t xml:space="preserve"> is fundamental in ensuring that assessments are fit for purpose. </w:t>
            </w:r>
          </w:p>
          <w:p w14:paraId="139B9311" w14:textId="501E4BAE" w:rsidR="00DC4E82" w:rsidRDefault="00DC4E82" w:rsidP="000C5D8C">
            <w:pPr>
              <w:contextualSpacing/>
              <w:rPr>
                <w:rFonts w:ascii="Arial" w:eastAsia="Calibri" w:hAnsi="Arial" w:cs="Arial"/>
                <w:bCs/>
                <w:iCs/>
                <w:color w:val="000000" w:themeColor="text1"/>
              </w:rPr>
            </w:pPr>
          </w:p>
          <w:p w14:paraId="78AE4A38" w14:textId="47A90583" w:rsidR="00DC4E82" w:rsidRPr="000C5D8C" w:rsidRDefault="00DC4E82" w:rsidP="00DC4E82">
            <w:pPr>
              <w:contextualSpacing/>
              <w:rPr>
                <w:rFonts w:ascii="Arial" w:eastAsia="Calibri" w:hAnsi="Arial" w:cs="Arial"/>
                <w:bCs/>
                <w:iCs/>
                <w:color w:val="000000" w:themeColor="text1"/>
              </w:rPr>
            </w:pPr>
            <w:r>
              <w:rPr>
                <w:rFonts w:ascii="Arial" w:eastAsia="Calibri" w:hAnsi="Arial" w:cs="Arial"/>
                <w:bCs/>
                <w:iCs/>
                <w:color w:val="000000" w:themeColor="text1"/>
              </w:rPr>
              <w:t xml:space="preserve">The </w:t>
            </w:r>
            <w:r w:rsidRPr="00D16CB3">
              <w:rPr>
                <w:rFonts w:ascii="Arial" w:eastAsia="Calibri" w:hAnsi="Arial" w:cs="Arial"/>
                <w:bCs/>
                <w:iCs/>
                <w:color w:val="000000" w:themeColor="text1"/>
              </w:rPr>
              <w:t>Quality Framework strategy, within HEE SW TVW triangulates data from: the ARCP Process, Educational Supervisors</w:t>
            </w:r>
            <w:r w:rsidR="00141218">
              <w:rPr>
                <w:rFonts w:ascii="Arial" w:eastAsia="Calibri" w:hAnsi="Arial" w:cs="Arial"/>
                <w:bCs/>
                <w:iCs/>
                <w:color w:val="000000" w:themeColor="text1"/>
              </w:rPr>
              <w:t>’</w:t>
            </w:r>
            <w:r w:rsidRPr="00D16CB3">
              <w:rPr>
                <w:rFonts w:ascii="Arial" w:eastAsia="Calibri" w:hAnsi="Arial" w:cs="Arial"/>
                <w:bCs/>
                <w:iCs/>
                <w:color w:val="000000" w:themeColor="text1"/>
              </w:rPr>
              <w:t xml:space="preserve"> reports, </w:t>
            </w:r>
            <w:r w:rsidRPr="009E27F0">
              <w:rPr>
                <w:rFonts w:ascii="Arial" w:eastAsia="Calibri" w:hAnsi="Arial" w:cs="Arial"/>
                <w:bCs/>
                <w:iCs/>
                <w:color w:val="000000" w:themeColor="text1"/>
              </w:rPr>
              <w:t>Patient Feedback</w:t>
            </w:r>
            <w:r w:rsidRPr="00D16CB3">
              <w:rPr>
                <w:rFonts w:ascii="Arial" w:eastAsia="Calibri" w:hAnsi="Arial" w:cs="Arial"/>
                <w:bCs/>
                <w:iCs/>
                <w:color w:val="000000" w:themeColor="text1"/>
              </w:rPr>
              <w:t xml:space="preserve">, Annual Surveys, </w:t>
            </w:r>
            <w:r w:rsidR="00141218">
              <w:rPr>
                <w:rFonts w:ascii="Arial" w:eastAsia="Calibri" w:hAnsi="Arial" w:cs="Arial"/>
                <w:bCs/>
                <w:iCs/>
                <w:color w:val="000000" w:themeColor="text1"/>
              </w:rPr>
              <w:t xml:space="preserve">and </w:t>
            </w:r>
            <w:r w:rsidRPr="00D16CB3">
              <w:rPr>
                <w:rFonts w:ascii="Arial" w:eastAsia="Calibri" w:hAnsi="Arial" w:cs="Arial"/>
                <w:bCs/>
                <w:iCs/>
                <w:color w:val="000000" w:themeColor="text1"/>
              </w:rPr>
              <w:t xml:space="preserve">Feedback from </w:t>
            </w:r>
            <w:r w:rsidR="00141218">
              <w:rPr>
                <w:rFonts w:ascii="Arial" w:eastAsia="Calibri" w:hAnsi="Arial" w:cs="Arial"/>
                <w:bCs/>
                <w:iCs/>
                <w:color w:val="000000" w:themeColor="text1"/>
              </w:rPr>
              <w:t xml:space="preserve">the Specialty </w:t>
            </w:r>
            <w:r w:rsidRPr="00D16CB3">
              <w:rPr>
                <w:rFonts w:ascii="Arial" w:eastAsia="Calibri" w:hAnsi="Arial" w:cs="Arial"/>
                <w:bCs/>
                <w:iCs/>
                <w:color w:val="000000" w:themeColor="text1"/>
              </w:rPr>
              <w:t>Trainee group</w:t>
            </w:r>
            <w:r>
              <w:rPr>
                <w:rFonts w:ascii="Arial" w:eastAsia="Calibri" w:hAnsi="Arial" w:cs="Arial"/>
                <w:bCs/>
                <w:iCs/>
                <w:color w:val="000000" w:themeColor="text1"/>
              </w:rPr>
              <w:t>.</w:t>
            </w:r>
          </w:p>
          <w:p w14:paraId="6A19F3CC" w14:textId="77777777" w:rsidR="00AC6C75" w:rsidRDefault="00AC6C75" w:rsidP="000C5D8C">
            <w:pPr>
              <w:contextualSpacing/>
              <w:rPr>
                <w:rFonts w:ascii="Arial" w:eastAsia="Calibri" w:hAnsi="Arial" w:cs="Arial"/>
                <w:bCs/>
                <w:iCs/>
                <w:color w:val="000000" w:themeColor="text1"/>
              </w:rPr>
            </w:pPr>
          </w:p>
          <w:p w14:paraId="1262A897" w14:textId="77777777" w:rsidR="00402C55" w:rsidRDefault="00402C55" w:rsidP="000C5D8C">
            <w:pPr>
              <w:contextualSpacing/>
              <w:rPr>
                <w:rFonts w:ascii="Arial" w:eastAsia="Calibri" w:hAnsi="Arial" w:cs="Arial"/>
                <w:bCs/>
                <w:iCs/>
                <w:color w:val="000000" w:themeColor="text1"/>
              </w:rPr>
            </w:pPr>
            <w:r>
              <w:rPr>
                <w:rFonts w:ascii="Arial" w:eastAsia="Calibri" w:hAnsi="Arial" w:cs="Arial"/>
                <w:bCs/>
                <w:iCs/>
                <w:color w:val="000000" w:themeColor="text1"/>
              </w:rPr>
              <w:t>Evidence provided to support this requirement includes documentation in relation to:</w:t>
            </w:r>
          </w:p>
          <w:p w14:paraId="0A70D170" w14:textId="0AE523EA" w:rsidR="00402C55" w:rsidRDefault="000C5D8C" w:rsidP="00897BF2">
            <w:pPr>
              <w:pStyle w:val="ListParagraph"/>
              <w:numPr>
                <w:ilvl w:val="0"/>
                <w:numId w:val="6"/>
              </w:numPr>
              <w:spacing w:after="0" w:line="240" w:lineRule="auto"/>
              <w:rPr>
                <w:rFonts w:ascii="Arial" w:eastAsia="Calibri" w:hAnsi="Arial" w:cs="Arial"/>
                <w:bCs/>
                <w:iCs/>
                <w:color w:val="000000" w:themeColor="text1"/>
              </w:rPr>
            </w:pPr>
            <w:r w:rsidRPr="00402C55">
              <w:rPr>
                <w:rFonts w:ascii="Arial" w:eastAsia="Calibri" w:hAnsi="Arial" w:cs="Arial"/>
                <w:bCs/>
                <w:iCs/>
                <w:color w:val="000000" w:themeColor="text1"/>
              </w:rPr>
              <w:t>ARCP</w:t>
            </w:r>
            <w:r w:rsidR="00141218">
              <w:rPr>
                <w:rFonts w:ascii="Arial" w:eastAsia="Calibri" w:hAnsi="Arial" w:cs="Arial"/>
                <w:bCs/>
                <w:iCs/>
                <w:color w:val="000000" w:themeColor="text1"/>
              </w:rPr>
              <w:t>s</w:t>
            </w:r>
          </w:p>
          <w:p w14:paraId="11D9B5D4" w14:textId="77777777" w:rsidR="00402C55" w:rsidRDefault="000C5D8C" w:rsidP="00897BF2">
            <w:pPr>
              <w:pStyle w:val="ListParagraph"/>
              <w:numPr>
                <w:ilvl w:val="0"/>
                <w:numId w:val="6"/>
              </w:numPr>
              <w:spacing w:after="0" w:line="240" w:lineRule="auto"/>
              <w:rPr>
                <w:rFonts w:ascii="Arial" w:eastAsia="Calibri" w:hAnsi="Arial" w:cs="Arial"/>
                <w:bCs/>
                <w:iCs/>
                <w:color w:val="000000" w:themeColor="text1"/>
              </w:rPr>
            </w:pPr>
            <w:r w:rsidRPr="00402C55">
              <w:rPr>
                <w:rFonts w:ascii="Arial" w:eastAsia="Calibri" w:hAnsi="Arial" w:cs="Arial"/>
                <w:bCs/>
                <w:iCs/>
                <w:color w:val="000000" w:themeColor="text1"/>
              </w:rPr>
              <w:t>Dental Senior Team</w:t>
            </w:r>
          </w:p>
          <w:p w14:paraId="4499ED90" w14:textId="77777777" w:rsidR="00402C55" w:rsidRDefault="000C5D8C" w:rsidP="00897BF2">
            <w:pPr>
              <w:pStyle w:val="ListParagraph"/>
              <w:numPr>
                <w:ilvl w:val="0"/>
                <w:numId w:val="6"/>
              </w:numPr>
              <w:spacing w:after="0" w:line="240" w:lineRule="auto"/>
              <w:rPr>
                <w:rFonts w:ascii="Arial" w:eastAsia="Calibri" w:hAnsi="Arial" w:cs="Arial"/>
                <w:bCs/>
                <w:iCs/>
                <w:color w:val="000000" w:themeColor="text1"/>
              </w:rPr>
            </w:pPr>
            <w:r w:rsidRPr="00402C55">
              <w:rPr>
                <w:rFonts w:ascii="Arial" w:eastAsia="Calibri" w:hAnsi="Arial" w:cs="Arial"/>
                <w:bCs/>
                <w:iCs/>
                <w:color w:val="000000" w:themeColor="text1"/>
              </w:rPr>
              <w:t>Specialty Training Committees</w:t>
            </w:r>
          </w:p>
          <w:p w14:paraId="339C7E2F" w14:textId="77777777" w:rsidR="00417CA6" w:rsidRDefault="000C5D8C" w:rsidP="00897BF2">
            <w:pPr>
              <w:pStyle w:val="ListParagraph"/>
              <w:numPr>
                <w:ilvl w:val="0"/>
                <w:numId w:val="6"/>
              </w:numPr>
              <w:spacing w:after="0" w:line="240" w:lineRule="auto"/>
              <w:rPr>
                <w:rFonts w:ascii="Arial" w:eastAsia="Calibri" w:hAnsi="Arial" w:cs="Arial"/>
                <w:bCs/>
                <w:iCs/>
                <w:color w:val="000000" w:themeColor="text1"/>
              </w:rPr>
            </w:pPr>
            <w:r w:rsidRPr="00402C55">
              <w:rPr>
                <w:rFonts w:ascii="Arial" w:eastAsia="Calibri" w:hAnsi="Arial" w:cs="Arial"/>
                <w:bCs/>
                <w:iCs/>
                <w:color w:val="000000" w:themeColor="text1"/>
              </w:rPr>
              <w:t xml:space="preserve">Specialty Trainee Group </w:t>
            </w:r>
          </w:p>
          <w:p w14:paraId="7512B118" w14:textId="128289F4" w:rsidR="00417CA6" w:rsidRDefault="000C5D8C" w:rsidP="00897BF2">
            <w:pPr>
              <w:pStyle w:val="ListParagraph"/>
              <w:numPr>
                <w:ilvl w:val="0"/>
                <w:numId w:val="6"/>
              </w:numPr>
              <w:spacing w:after="0" w:line="240" w:lineRule="auto"/>
              <w:rPr>
                <w:rFonts w:ascii="Arial" w:eastAsia="Calibri" w:hAnsi="Arial" w:cs="Arial"/>
                <w:bCs/>
                <w:iCs/>
                <w:color w:val="000000" w:themeColor="text1"/>
              </w:rPr>
            </w:pPr>
            <w:r w:rsidRPr="00402C55">
              <w:rPr>
                <w:rFonts w:ascii="Arial" w:eastAsia="Calibri" w:hAnsi="Arial" w:cs="Arial"/>
                <w:bCs/>
                <w:iCs/>
                <w:color w:val="000000" w:themeColor="text1"/>
              </w:rPr>
              <w:t>Annual Reviews of Educational Supervisor</w:t>
            </w:r>
            <w:r w:rsidR="001F04A8">
              <w:rPr>
                <w:rFonts w:ascii="Arial" w:eastAsia="Calibri" w:hAnsi="Arial" w:cs="Arial"/>
                <w:bCs/>
                <w:iCs/>
                <w:color w:val="000000" w:themeColor="text1"/>
              </w:rPr>
              <w:t>s</w:t>
            </w:r>
            <w:r w:rsidRPr="00402C55">
              <w:rPr>
                <w:rFonts w:ascii="Arial" w:eastAsia="Calibri" w:hAnsi="Arial" w:cs="Arial"/>
                <w:bCs/>
                <w:iCs/>
                <w:color w:val="000000" w:themeColor="text1"/>
              </w:rPr>
              <w:t xml:space="preserve"> </w:t>
            </w:r>
          </w:p>
          <w:p w14:paraId="3EAB8629" w14:textId="77777777" w:rsidR="00417CA6" w:rsidRDefault="000C5D8C" w:rsidP="00897BF2">
            <w:pPr>
              <w:pStyle w:val="ListParagraph"/>
              <w:numPr>
                <w:ilvl w:val="0"/>
                <w:numId w:val="6"/>
              </w:numPr>
              <w:spacing w:after="0" w:line="240" w:lineRule="auto"/>
              <w:rPr>
                <w:rFonts w:ascii="Arial" w:eastAsia="Calibri" w:hAnsi="Arial" w:cs="Arial"/>
                <w:bCs/>
                <w:iCs/>
                <w:color w:val="000000" w:themeColor="text1"/>
              </w:rPr>
            </w:pPr>
            <w:r w:rsidRPr="00402C55">
              <w:rPr>
                <w:rFonts w:ascii="Arial" w:eastAsia="Calibri" w:hAnsi="Arial" w:cs="Arial"/>
                <w:bCs/>
                <w:iCs/>
                <w:color w:val="000000" w:themeColor="text1"/>
              </w:rPr>
              <w:lastRenderedPageBreak/>
              <w:t>Training Records</w:t>
            </w:r>
          </w:p>
          <w:p w14:paraId="0F318631" w14:textId="77777777" w:rsidR="00417CA6" w:rsidRDefault="000C5D8C" w:rsidP="00897BF2">
            <w:pPr>
              <w:pStyle w:val="ListParagraph"/>
              <w:numPr>
                <w:ilvl w:val="0"/>
                <w:numId w:val="6"/>
              </w:numPr>
              <w:spacing w:after="0" w:line="240" w:lineRule="auto"/>
              <w:rPr>
                <w:rFonts w:ascii="Arial" w:eastAsia="Calibri" w:hAnsi="Arial" w:cs="Arial"/>
                <w:bCs/>
                <w:iCs/>
                <w:color w:val="000000" w:themeColor="text1"/>
              </w:rPr>
            </w:pPr>
            <w:r w:rsidRPr="00417CA6">
              <w:rPr>
                <w:rFonts w:ascii="Arial" w:eastAsia="Calibri" w:hAnsi="Arial" w:cs="Arial"/>
                <w:bCs/>
                <w:iCs/>
                <w:color w:val="000000" w:themeColor="text1"/>
              </w:rPr>
              <w:t xml:space="preserve">Induction Packages </w:t>
            </w:r>
          </w:p>
          <w:p w14:paraId="067742C4" w14:textId="165C7938" w:rsidR="00417CA6" w:rsidRDefault="000C5D8C" w:rsidP="00897BF2">
            <w:pPr>
              <w:pStyle w:val="ListParagraph"/>
              <w:numPr>
                <w:ilvl w:val="0"/>
                <w:numId w:val="6"/>
              </w:numPr>
              <w:spacing w:after="0" w:line="240" w:lineRule="auto"/>
              <w:rPr>
                <w:rFonts w:ascii="Arial" w:eastAsia="Calibri" w:hAnsi="Arial" w:cs="Arial"/>
                <w:bCs/>
                <w:iCs/>
                <w:color w:val="000000" w:themeColor="text1"/>
              </w:rPr>
            </w:pPr>
            <w:r w:rsidRPr="00417CA6">
              <w:rPr>
                <w:rFonts w:ascii="Arial" w:eastAsia="Calibri" w:hAnsi="Arial" w:cs="Arial"/>
                <w:bCs/>
                <w:iCs/>
                <w:color w:val="000000" w:themeColor="text1"/>
              </w:rPr>
              <w:t xml:space="preserve">ES and </w:t>
            </w:r>
            <w:r w:rsidR="001F04A8">
              <w:rPr>
                <w:rFonts w:ascii="Arial" w:eastAsia="Calibri" w:hAnsi="Arial" w:cs="Arial"/>
                <w:bCs/>
                <w:iCs/>
                <w:color w:val="000000" w:themeColor="text1"/>
              </w:rPr>
              <w:t xml:space="preserve">TPD </w:t>
            </w:r>
            <w:r w:rsidRPr="00417CA6">
              <w:rPr>
                <w:rFonts w:ascii="Arial" w:eastAsia="Calibri" w:hAnsi="Arial" w:cs="Arial"/>
                <w:bCs/>
                <w:iCs/>
                <w:color w:val="000000" w:themeColor="text1"/>
              </w:rPr>
              <w:t>appointment letters</w:t>
            </w:r>
            <w:r w:rsidR="00163E81">
              <w:rPr>
                <w:rFonts w:ascii="Arial" w:eastAsia="Calibri" w:hAnsi="Arial" w:cs="Arial"/>
                <w:bCs/>
                <w:iCs/>
                <w:color w:val="000000" w:themeColor="text1"/>
              </w:rPr>
              <w:t>,</w:t>
            </w:r>
          </w:p>
          <w:p w14:paraId="2462F430" w14:textId="72002B31" w:rsidR="001F04A8" w:rsidRDefault="001F04A8" w:rsidP="001F04A8">
            <w:pPr>
              <w:rPr>
                <w:rFonts w:ascii="Arial" w:eastAsia="Calibri" w:hAnsi="Arial" w:cs="Arial"/>
                <w:bCs/>
                <w:iCs/>
                <w:color w:val="000000" w:themeColor="text1"/>
              </w:rPr>
            </w:pPr>
          </w:p>
          <w:p w14:paraId="6D1F3CE9" w14:textId="6B8184F9" w:rsidR="00A701A7" w:rsidRDefault="00A701A7" w:rsidP="000C5D8C">
            <w:pPr>
              <w:rPr>
                <w:rFonts w:ascii="Arial" w:eastAsia="Calibri" w:hAnsi="Arial" w:cs="Arial"/>
                <w:bCs/>
                <w:iCs/>
                <w:color w:val="000000" w:themeColor="text1"/>
              </w:rPr>
            </w:pPr>
            <w:r>
              <w:rPr>
                <w:rFonts w:ascii="Arial" w:eastAsia="Calibri" w:hAnsi="Arial" w:cs="Arial"/>
                <w:bCs/>
                <w:iCs/>
                <w:color w:val="000000" w:themeColor="text1"/>
              </w:rPr>
              <w:t xml:space="preserve">Further documentation </w:t>
            </w:r>
            <w:r w:rsidR="000C5D8C" w:rsidRPr="00557F0C">
              <w:rPr>
                <w:rFonts w:ascii="Arial" w:eastAsia="Calibri" w:hAnsi="Arial" w:cs="Arial"/>
                <w:bCs/>
                <w:iCs/>
                <w:color w:val="000000" w:themeColor="text1"/>
              </w:rPr>
              <w:t xml:space="preserve">sets out the </w:t>
            </w:r>
            <w:r w:rsidR="001E0ABB" w:rsidRPr="00557F0C">
              <w:rPr>
                <w:rFonts w:ascii="Arial" w:eastAsia="Calibri" w:hAnsi="Arial" w:cs="Arial"/>
                <w:bCs/>
                <w:iCs/>
                <w:color w:val="000000" w:themeColor="text1"/>
              </w:rPr>
              <w:t xml:space="preserve">role </w:t>
            </w:r>
            <w:r w:rsidR="001E0ABB">
              <w:rPr>
                <w:rFonts w:ascii="Arial" w:eastAsia="Calibri" w:hAnsi="Arial" w:cs="Arial"/>
                <w:bCs/>
                <w:iCs/>
                <w:color w:val="000000" w:themeColor="text1"/>
              </w:rPr>
              <w:t>and</w:t>
            </w:r>
            <w:r>
              <w:rPr>
                <w:rFonts w:ascii="Arial" w:eastAsia="Calibri" w:hAnsi="Arial" w:cs="Arial"/>
                <w:bCs/>
                <w:iCs/>
                <w:color w:val="000000" w:themeColor="text1"/>
              </w:rPr>
              <w:t xml:space="preserve"> </w:t>
            </w:r>
            <w:r w:rsidR="000C5D8C" w:rsidRPr="00557F0C">
              <w:rPr>
                <w:rFonts w:ascii="Arial" w:eastAsia="Calibri" w:hAnsi="Arial" w:cs="Arial"/>
                <w:bCs/>
                <w:iCs/>
                <w:color w:val="000000" w:themeColor="text1"/>
              </w:rPr>
              <w:t xml:space="preserve">actions undertaken by HEE, the TPD, ES and </w:t>
            </w:r>
            <w:r>
              <w:rPr>
                <w:rFonts w:ascii="Arial" w:eastAsia="Calibri" w:hAnsi="Arial" w:cs="Arial"/>
                <w:bCs/>
                <w:iCs/>
                <w:color w:val="000000" w:themeColor="text1"/>
              </w:rPr>
              <w:t>CS</w:t>
            </w:r>
            <w:r w:rsidR="000C5D8C" w:rsidRPr="00557F0C">
              <w:rPr>
                <w:rFonts w:ascii="Arial" w:eastAsia="Calibri" w:hAnsi="Arial" w:cs="Arial"/>
                <w:bCs/>
                <w:iCs/>
                <w:color w:val="000000" w:themeColor="text1"/>
              </w:rPr>
              <w:t xml:space="preserve"> and external members in advance of the </w:t>
            </w:r>
            <w:r w:rsidR="00CF0060">
              <w:rPr>
                <w:rFonts w:ascii="Arial" w:eastAsia="Calibri" w:hAnsi="Arial" w:cs="Arial"/>
                <w:bCs/>
                <w:iCs/>
                <w:color w:val="000000" w:themeColor="text1"/>
              </w:rPr>
              <w:t>ARCP.</w:t>
            </w:r>
            <w:r w:rsidR="000C5D8C" w:rsidRPr="00557F0C">
              <w:rPr>
                <w:rFonts w:ascii="Arial" w:eastAsia="Calibri" w:hAnsi="Arial" w:cs="Arial"/>
                <w:bCs/>
                <w:iCs/>
                <w:color w:val="000000" w:themeColor="text1"/>
              </w:rPr>
              <w:t xml:space="preserve"> </w:t>
            </w:r>
            <w:r w:rsidR="00CF0060">
              <w:rPr>
                <w:rFonts w:ascii="Arial" w:eastAsia="Calibri" w:hAnsi="Arial" w:cs="Arial"/>
                <w:bCs/>
                <w:iCs/>
                <w:color w:val="000000" w:themeColor="text1"/>
              </w:rPr>
              <w:t>A</w:t>
            </w:r>
            <w:r w:rsidR="000C5D8C" w:rsidRPr="00557F0C">
              <w:rPr>
                <w:rFonts w:ascii="Arial" w:eastAsia="Calibri" w:hAnsi="Arial" w:cs="Arial"/>
                <w:bCs/>
                <w:iCs/>
                <w:color w:val="000000" w:themeColor="text1"/>
              </w:rPr>
              <w:t xml:space="preserve"> meeting </w:t>
            </w:r>
            <w:r w:rsidR="00CF0060">
              <w:rPr>
                <w:rFonts w:ascii="Arial" w:eastAsia="Calibri" w:hAnsi="Arial" w:cs="Arial"/>
                <w:bCs/>
                <w:iCs/>
                <w:color w:val="000000" w:themeColor="text1"/>
              </w:rPr>
              <w:t xml:space="preserve">takes place </w:t>
            </w:r>
            <w:r w:rsidR="000C5D8C" w:rsidRPr="00557F0C">
              <w:rPr>
                <w:rFonts w:ascii="Arial" w:eastAsia="Calibri" w:hAnsi="Arial" w:cs="Arial"/>
                <w:bCs/>
                <w:iCs/>
                <w:color w:val="000000" w:themeColor="text1"/>
              </w:rPr>
              <w:t>between the Specialty Trainee and E</w:t>
            </w:r>
            <w:r w:rsidR="00CF0060">
              <w:rPr>
                <w:rFonts w:ascii="Arial" w:eastAsia="Calibri" w:hAnsi="Arial" w:cs="Arial"/>
                <w:bCs/>
                <w:iCs/>
                <w:color w:val="000000" w:themeColor="text1"/>
              </w:rPr>
              <w:t>S</w:t>
            </w:r>
            <w:r w:rsidR="000C5D8C" w:rsidRPr="00557F0C">
              <w:rPr>
                <w:rFonts w:ascii="Arial" w:eastAsia="Calibri" w:hAnsi="Arial" w:cs="Arial"/>
                <w:bCs/>
                <w:iCs/>
                <w:color w:val="000000" w:themeColor="text1"/>
              </w:rPr>
              <w:t xml:space="preserve"> </w:t>
            </w:r>
            <w:r w:rsidR="004779B5">
              <w:rPr>
                <w:rFonts w:ascii="Arial" w:eastAsia="Calibri" w:hAnsi="Arial" w:cs="Arial"/>
                <w:bCs/>
                <w:iCs/>
                <w:color w:val="000000" w:themeColor="text1"/>
              </w:rPr>
              <w:t>prior to</w:t>
            </w:r>
            <w:r w:rsidR="000A49F4">
              <w:rPr>
                <w:rFonts w:ascii="Arial" w:eastAsia="Calibri" w:hAnsi="Arial" w:cs="Arial"/>
                <w:bCs/>
                <w:iCs/>
                <w:color w:val="000000" w:themeColor="text1"/>
              </w:rPr>
              <w:t xml:space="preserve"> the ARCP</w:t>
            </w:r>
            <w:r w:rsidR="000C5D8C" w:rsidRPr="00557F0C">
              <w:rPr>
                <w:rFonts w:ascii="Arial" w:eastAsia="Calibri" w:hAnsi="Arial" w:cs="Arial"/>
                <w:bCs/>
                <w:iCs/>
                <w:color w:val="000000" w:themeColor="text1"/>
              </w:rPr>
              <w:t xml:space="preserve"> to review the Personal Development Plan and evidence which has been uploaded to the e-portfolio.</w:t>
            </w:r>
            <w:r w:rsidR="001E0ABB">
              <w:rPr>
                <w:rFonts w:ascii="Arial" w:eastAsia="Calibri" w:hAnsi="Arial" w:cs="Arial"/>
                <w:bCs/>
                <w:iCs/>
                <w:color w:val="000000" w:themeColor="text1"/>
              </w:rPr>
              <w:t xml:space="preserve"> It is e</w:t>
            </w:r>
            <w:r w:rsidR="000C5D8C" w:rsidRPr="000C5D8C">
              <w:rPr>
                <w:rFonts w:ascii="Arial" w:eastAsia="Calibri" w:hAnsi="Arial" w:cs="Arial"/>
                <w:bCs/>
                <w:iCs/>
                <w:color w:val="000000" w:themeColor="text1"/>
              </w:rPr>
              <w:t xml:space="preserve">videnced that outcomes were carefully considered and that when students were not ready to progress, </w:t>
            </w:r>
            <w:r w:rsidR="001E0ABB">
              <w:rPr>
                <w:rFonts w:ascii="Arial" w:eastAsia="Calibri" w:hAnsi="Arial" w:cs="Arial"/>
                <w:bCs/>
                <w:iCs/>
                <w:color w:val="000000" w:themeColor="text1"/>
              </w:rPr>
              <w:t>they had access to support to assist them.</w:t>
            </w:r>
            <w:r w:rsidR="009710B2" w:rsidRPr="00D16CB3">
              <w:rPr>
                <w:rFonts w:ascii="Arial" w:eastAsia="Calibri" w:hAnsi="Arial" w:cs="Arial"/>
                <w:bCs/>
                <w:iCs/>
                <w:color w:val="000000" w:themeColor="text1"/>
              </w:rPr>
              <w:t xml:space="preserve"> An ARCP timetable and process document is utilised to ensure ES, TPD and  HEE Dental Team have a clear plan for the year.</w:t>
            </w:r>
          </w:p>
          <w:p w14:paraId="18EFB6E9" w14:textId="77777777" w:rsidR="00A701A7" w:rsidRDefault="00A701A7" w:rsidP="000C5D8C">
            <w:pPr>
              <w:contextualSpacing/>
              <w:rPr>
                <w:rFonts w:ascii="Arial" w:eastAsia="Calibri" w:hAnsi="Arial" w:cs="Arial"/>
                <w:bCs/>
                <w:iCs/>
                <w:color w:val="000000" w:themeColor="text1"/>
              </w:rPr>
            </w:pPr>
          </w:p>
          <w:p w14:paraId="7487C0DB" w14:textId="722F5131" w:rsidR="007968B0" w:rsidRDefault="000A49F4" w:rsidP="000C5D8C">
            <w:pPr>
              <w:contextualSpacing/>
              <w:rPr>
                <w:rFonts w:ascii="Arial" w:eastAsia="Calibri" w:hAnsi="Arial" w:cs="Arial"/>
                <w:bCs/>
                <w:iCs/>
                <w:color w:val="000000" w:themeColor="text1"/>
              </w:rPr>
            </w:pPr>
            <w:r>
              <w:rPr>
                <w:rFonts w:ascii="Arial" w:eastAsia="Calibri" w:hAnsi="Arial" w:cs="Arial"/>
                <w:bCs/>
                <w:iCs/>
                <w:color w:val="000000" w:themeColor="text1"/>
              </w:rPr>
              <w:t>T</w:t>
            </w:r>
            <w:r w:rsidR="000C5D8C" w:rsidRPr="000C5D8C">
              <w:rPr>
                <w:rFonts w:ascii="Arial" w:eastAsia="Calibri" w:hAnsi="Arial" w:cs="Arial"/>
                <w:bCs/>
                <w:iCs/>
                <w:color w:val="000000" w:themeColor="text1"/>
              </w:rPr>
              <w:t xml:space="preserve">raining </w:t>
            </w:r>
            <w:r>
              <w:rPr>
                <w:rFonts w:ascii="Arial" w:eastAsia="Calibri" w:hAnsi="Arial" w:cs="Arial"/>
                <w:bCs/>
                <w:iCs/>
                <w:color w:val="000000" w:themeColor="text1"/>
              </w:rPr>
              <w:t xml:space="preserve">was </w:t>
            </w:r>
            <w:r w:rsidR="000C5D8C" w:rsidRPr="000C5D8C">
              <w:rPr>
                <w:rFonts w:ascii="Arial" w:eastAsia="Calibri" w:hAnsi="Arial" w:cs="Arial"/>
                <w:bCs/>
                <w:iCs/>
                <w:color w:val="000000" w:themeColor="text1"/>
              </w:rPr>
              <w:t>developed by</w:t>
            </w:r>
            <w:r w:rsidR="003D1A44">
              <w:rPr>
                <w:rFonts w:ascii="Arial" w:eastAsia="Calibri" w:hAnsi="Arial" w:cs="Arial"/>
                <w:bCs/>
                <w:iCs/>
                <w:color w:val="000000" w:themeColor="text1"/>
              </w:rPr>
              <w:t xml:space="preserve"> the Committee of Postgraduate Deans and Directors</w:t>
            </w:r>
            <w:r w:rsidR="000C5D8C" w:rsidRPr="000C5D8C">
              <w:rPr>
                <w:rFonts w:ascii="Arial" w:eastAsia="Calibri" w:hAnsi="Arial" w:cs="Arial"/>
                <w:bCs/>
                <w:iCs/>
                <w:color w:val="000000" w:themeColor="text1"/>
              </w:rPr>
              <w:t xml:space="preserve"> </w:t>
            </w:r>
            <w:r w:rsidR="003D1A44">
              <w:rPr>
                <w:rFonts w:ascii="Arial" w:eastAsia="Calibri" w:hAnsi="Arial" w:cs="Arial"/>
                <w:bCs/>
                <w:iCs/>
                <w:color w:val="000000" w:themeColor="text1"/>
              </w:rPr>
              <w:t>(</w:t>
            </w:r>
            <w:r w:rsidR="000C5D8C" w:rsidRPr="000C5D8C">
              <w:rPr>
                <w:rFonts w:ascii="Arial" w:eastAsia="Calibri" w:hAnsi="Arial" w:cs="Arial"/>
                <w:bCs/>
                <w:iCs/>
                <w:color w:val="000000" w:themeColor="text1"/>
              </w:rPr>
              <w:t>COPDEND</w:t>
            </w:r>
            <w:r w:rsidR="003D1A44">
              <w:rPr>
                <w:rFonts w:ascii="Arial" w:eastAsia="Calibri" w:hAnsi="Arial" w:cs="Arial"/>
                <w:bCs/>
                <w:iCs/>
                <w:color w:val="000000" w:themeColor="text1"/>
              </w:rPr>
              <w:t>)</w:t>
            </w:r>
            <w:r>
              <w:rPr>
                <w:rFonts w:ascii="Arial" w:eastAsia="Calibri" w:hAnsi="Arial" w:cs="Arial"/>
                <w:bCs/>
                <w:iCs/>
                <w:color w:val="000000" w:themeColor="text1"/>
              </w:rPr>
              <w:t xml:space="preserve"> </w:t>
            </w:r>
            <w:r w:rsidR="000C5D8C" w:rsidRPr="000C5D8C">
              <w:rPr>
                <w:rFonts w:ascii="Arial" w:eastAsia="Calibri" w:hAnsi="Arial" w:cs="Arial"/>
                <w:bCs/>
                <w:iCs/>
                <w:color w:val="000000" w:themeColor="text1"/>
              </w:rPr>
              <w:t>for members of S</w:t>
            </w:r>
            <w:r w:rsidR="00F827C2">
              <w:rPr>
                <w:rFonts w:ascii="Arial" w:eastAsia="Calibri" w:hAnsi="Arial" w:cs="Arial"/>
                <w:bCs/>
                <w:iCs/>
                <w:color w:val="000000" w:themeColor="text1"/>
              </w:rPr>
              <w:t>ACs</w:t>
            </w:r>
            <w:r w:rsidR="000C5D8C" w:rsidRPr="000C5D8C">
              <w:rPr>
                <w:rFonts w:ascii="Arial" w:eastAsia="Calibri" w:hAnsi="Arial" w:cs="Arial"/>
                <w:bCs/>
                <w:iCs/>
                <w:color w:val="000000" w:themeColor="text1"/>
              </w:rPr>
              <w:t xml:space="preserve"> who are external members on ARCP</w:t>
            </w:r>
            <w:r w:rsidR="002824FC">
              <w:rPr>
                <w:rFonts w:ascii="Arial" w:eastAsia="Calibri" w:hAnsi="Arial" w:cs="Arial"/>
                <w:bCs/>
                <w:iCs/>
                <w:color w:val="000000" w:themeColor="text1"/>
              </w:rPr>
              <w:t>s</w:t>
            </w:r>
            <w:r w:rsidR="008A470F">
              <w:rPr>
                <w:rFonts w:ascii="Arial" w:eastAsia="Calibri" w:hAnsi="Arial" w:cs="Arial"/>
                <w:bCs/>
                <w:iCs/>
                <w:color w:val="000000" w:themeColor="text1"/>
              </w:rPr>
              <w:t xml:space="preserve">, </w:t>
            </w:r>
            <w:r w:rsidR="002824FC">
              <w:rPr>
                <w:rFonts w:ascii="Arial" w:eastAsia="Calibri" w:hAnsi="Arial" w:cs="Arial"/>
                <w:bCs/>
                <w:iCs/>
                <w:color w:val="000000" w:themeColor="text1"/>
              </w:rPr>
              <w:t>(although it was noted it did not appear to have been updated since 2016). T</w:t>
            </w:r>
            <w:r w:rsidR="008A470F">
              <w:rPr>
                <w:rFonts w:ascii="Arial" w:eastAsia="Calibri" w:hAnsi="Arial" w:cs="Arial"/>
                <w:bCs/>
                <w:iCs/>
                <w:color w:val="000000" w:themeColor="text1"/>
              </w:rPr>
              <w:t xml:space="preserve">his </w:t>
            </w:r>
            <w:r w:rsidR="008A470F" w:rsidRPr="000C5D8C">
              <w:rPr>
                <w:rFonts w:ascii="Arial" w:eastAsia="Calibri" w:hAnsi="Arial" w:cs="Arial"/>
                <w:bCs/>
                <w:iCs/>
                <w:color w:val="000000" w:themeColor="text1"/>
              </w:rPr>
              <w:t>outline</w:t>
            </w:r>
            <w:r w:rsidR="008A470F">
              <w:rPr>
                <w:rFonts w:ascii="Arial" w:eastAsia="Calibri" w:hAnsi="Arial" w:cs="Arial"/>
                <w:bCs/>
                <w:iCs/>
                <w:color w:val="000000" w:themeColor="text1"/>
              </w:rPr>
              <w:t>d</w:t>
            </w:r>
            <w:r w:rsidR="008A470F" w:rsidRPr="000C5D8C">
              <w:rPr>
                <w:rFonts w:ascii="Arial" w:eastAsia="Calibri" w:hAnsi="Arial" w:cs="Arial"/>
                <w:bCs/>
                <w:iCs/>
                <w:color w:val="000000" w:themeColor="text1"/>
              </w:rPr>
              <w:t xml:space="preserve"> the SAC's role and responsibilities</w:t>
            </w:r>
            <w:r w:rsidR="008A470F">
              <w:rPr>
                <w:rFonts w:ascii="Arial" w:eastAsia="Calibri" w:hAnsi="Arial" w:cs="Arial"/>
                <w:bCs/>
                <w:iCs/>
                <w:color w:val="000000" w:themeColor="text1"/>
              </w:rPr>
              <w:t>.</w:t>
            </w:r>
            <w:r w:rsidR="000C5D8C" w:rsidRPr="000C5D8C">
              <w:rPr>
                <w:rFonts w:ascii="Arial" w:eastAsia="Calibri" w:hAnsi="Arial" w:cs="Arial"/>
                <w:bCs/>
                <w:iCs/>
                <w:color w:val="000000" w:themeColor="text1"/>
              </w:rPr>
              <w:t xml:space="preserve"> </w:t>
            </w:r>
            <w:r>
              <w:rPr>
                <w:rFonts w:ascii="Arial" w:eastAsia="Calibri" w:hAnsi="Arial" w:cs="Arial"/>
                <w:bCs/>
                <w:iCs/>
                <w:color w:val="000000" w:themeColor="text1"/>
              </w:rPr>
              <w:t xml:space="preserve">We were assured that there is </w:t>
            </w:r>
            <w:r w:rsidR="000C5D8C" w:rsidRPr="000C5D8C">
              <w:rPr>
                <w:rFonts w:ascii="Arial" w:eastAsia="Calibri" w:hAnsi="Arial" w:cs="Arial"/>
                <w:bCs/>
                <w:iCs/>
                <w:color w:val="000000" w:themeColor="text1"/>
              </w:rPr>
              <w:t xml:space="preserve">consistency and quality in the delivery of SAC external representation at </w:t>
            </w:r>
            <w:r w:rsidR="007968B0">
              <w:rPr>
                <w:rFonts w:ascii="Arial" w:eastAsia="Calibri" w:hAnsi="Arial" w:cs="Arial"/>
                <w:bCs/>
                <w:iCs/>
                <w:color w:val="000000" w:themeColor="text1"/>
              </w:rPr>
              <w:t>ARCPs.</w:t>
            </w:r>
            <w:r w:rsidR="000C5D8C" w:rsidRPr="000C5D8C">
              <w:rPr>
                <w:rFonts w:ascii="Arial" w:eastAsia="Calibri" w:hAnsi="Arial" w:cs="Arial"/>
                <w:bCs/>
                <w:iCs/>
                <w:color w:val="000000" w:themeColor="text1"/>
              </w:rPr>
              <w:t xml:space="preserve"> </w:t>
            </w:r>
            <w:r w:rsidR="00E74D56" w:rsidRPr="000C5D8C">
              <w:rPr>
                <w:rFonts w:ascii="Arial" w:eastAsia="Calibri" w:hAnsi="Arial" w:cs="Arial"/>
                <w:bCs/>
                <w:iCs/>
                <w:color w:val="000000" w:themeColor="text1"/>
              </w:rPr>
              <w:t xml:space="preserve">SAC external panel members and lay panel member reports </w:t>
            </w:r>
            <w:r w:rsidR="00E74D56">
              <w:rPr>
                <w:rFonts w:ascii="Arial" w:eastAsia="Calibri" w:hAnsi="Arial" w:cs="Arial"/>
                <w:bCs/>
                <w:iCs/>
                <w:color w:val="000000" w:themeColor="text1"/>
              </w:rPr>
              <w:t>provide assurance</w:t>
            </w:r>
            <w:r w:rsidR="00E74D56" w:rsidRPr="000C5D8C">
              <w:rPr>
                <w:rFonts w:ascii="Arial" w:eastAsia="Calibri" w:hAnsi="Arial" w:cs="Arial"/>
                <w:bCs/>
                <w:iCs/>
                <w:color w:val="000000" w:themeColor="text1"/>
              </w:rPr>
              <w:t xml:space="preserve"> that the assessment results are valid and reliable</w:t>
            </w:r>
          </w:p>
          <w:p w14:paraId="3B175D89" w14:textId="77777777" w:rsidR="007968B0" w:rsidRDefault="007968B0" w:rsidP="000C5D8C">
            <w:pPr>
              <w:contextualSpacing/>
              <w:rPr>
                <w:rFonts w:ascii="Arial" w:eastAsia="Calibri" w:hAnsi="Arial" w:cs="Arial"/>
                <w:bCs/>
                <w:iCs/>
                <w:color w:val="000000" w:themeColor="text1"/>
              </w:rPr>
            </w:pPr>
          </w:p>
          <w:p w14:paraId="3E17FF19" w14:textId="22A0DCA9" w:rsidR="004F6CFA" w:rsidRDefault="008F5035" w:rsidP="000C5D8C">
            <w:pPr>
              <w:contextualSpacing/>
              <w:rPr>
                <w:rFonts w:ascii="Arial" w:eastAsia="Calibri" w:hAnsi="Arial" w:cs="Arial"/>
                <w:bCs/>
                <w:iCs/>
                <w:color w:val="000000" w:themeColor="text1"/>
              </w:rPr>
            </w:pPr>
            <w:r>
              <w:rPr>
                <w:rFonts w:ascii="Arial" w:eastAsia="Calibri" w:hAnsi="Arial" w:cs="Arial"/>
                <w:bCs/>
                <w:iCs/>
                <w:color w:val="000000" w:themeColor="text1"/>
              </w:rPr>
              <w:t xml:space="preserve">It was clear that </w:t>
            </w:r>
            <w:r w:rsidR="00633BD4">
              <w:rPr>
                <w:rFonts w:ascii="Arial" w:eastAsia="Calibri" w:hAnsi="Arial" w:cs="Arial"/>
                <w:bCs/>
                <w:iCs/>
                <w:color w:val="000000" w:themeColor="text1"/>
              </w:rPr>
              <w:t xml:space="preserve">both senior management and the PGDD have </w:t>
            </w:r>
            <w:r w:rsidR="000C5D8C" w:rsidRPr="000C5D8C">
              <w:rPr>
                <w:rFonts w:ascii="Arial" w:eastAsia="Calibri" w:hAnsi="Arial" w:cs="Arial"/>
                <w:bCs/>
                <w:iCs/>
                <w:color w:val="000000" w:themeColor="text1"/>
              </w:rPr>
              <w:t>knowledge and interest in each individual student</w:t>
            </w:r>
            <w:r w:rsidR="0024626D">
              <w:rPr>
                <w:rFonts w:ascii="Arial" w:eastAsia="Calibri" w:hAnsi="Arial" w:cs="Arial"/>
                <w:bCs/>
                <w:iCs/>
                <w:color w:val="000000" w:themeColor="text1"/>
              </w:rPr>
              <w:t>’</w:t>
            </w:r>
            <w:r w:rsidR="000C5D8C" w:rsidRPr="000C5D8C">
              <w:rPr>
                <w:rFonts w:ascii="Arial" w:eastAsia="Calibri" w:hAnsi="Arial" w:cs="Arial"/>
                <w:bCs/>
                <w:iCs/>
                <w:color w:val="000000" w:themeColor="text1"/>
              </w:rPr>
              <w:t>s progress</w:t>
            </w:r>
            <w:r w:rsidR="007C0249">
              <w:rPr>
                <w:rFonts w:ascii="Arial" w:eastAsia="Calibri" w:hAnsi="Arial" w:cs="Arial"/>
                <w:bCs/>
                <w:iCs/>
                <w:color w:val="000000" w:themeColor="text1"/>
              </w:rPr>
              <w:t>,</w:t>
            </w:r>
            <w:r w:rsidR="00F65836">
              <w:rPr>
                <w:rFonts w:ascii="Arial" w:eastAsia="Calibri" w:hAnsi="Arial" w:cs="Arial"/>
                <w:bCs/>
                <w:iCs/>
                <w:color w:val="000000" w:themeColor="text1"/>
              </w:rPr>
              <w:t xml:space="preserve"> </w:t>
            </w:r>
            <w:r w:rsidR="0024626D">
              <w:rPr>
                <w:rFonts w:ascii="Arial" w:eastAsia="Calibri" w:hAnsi="Arial" w:cs="Arial"/>
                <w:bCs/>
                <w:iCs/>
                <w:color w:val="000000" w:themeColor="text1"/>
              </w:rPr>
              <w:t xml:space="preserve">and </w:t>
            </w:r>
            <w:r w:rsidR="000C5D8C" w:rsidRPr="000C5D8C">
              <w:rPr>
                <w:rFonts w:ascii="Arial" w:eastAsia="Calibri" w:hAnsi="Arial" w:cs="Arial"/>
                <w:bCs/>
                <w:iCs/>
                <w:color w:val="000000" w:themeColor="text1"/>
              </w:rPr>
              <w:t>regular</w:t>
            </w:r>
            <w:r w:rsidR="0024626D">
              <w:rPr>
                <w:rFonts w:ascii="Arial" w:eastAsia="Calibri" w:hAnsi="Arial" w:cs="Arial"/>
                <w:bCs/>
                <w:iCs/>
                <w:color w:val="000000" w:themeColor="text1"/>
              </w:rPr>
              <w:t>ly</w:t>
            </w:r>
            <w:r w:rsidR="000C5D8C" w:rsidRPr="000C5D8C">
              <w:rPr>
                <w:rFonts w:ascii="Arial" w:eastAsia="Calibri" w:hAnsi="Arial" w:cs="Arial"/>
                <w:bCs/>
                <w:iCs/>
                <w:color w:val="000000" w:themeColor="text1"/>
              </w:rPr>
              <w:t xml:space="preserve"> review ARCP outcomes and issues which may affect ARCP outcomes.</w:t>
            </w:r>
          </w:p>
          <w:p w14:paraId="21F50A79" w14:textId="77777777" w:rsidR="004F6CFA" w:rsidRDefault="004F6CFA" w:rsidP="000C5D8C">
            <w:pPr>
              <w:contextualSpacing/>
              <w:rPr>
                <w:rFonts w:ascii="Arial" w:eastAsia="Calibri" w:hAnsi="Arial" w:cs="Arial"/>
                <w:bCs/>
                <w:iCs/>
                <w:color w:val="000000" w:themeColor="text1"/>
              </w:rPr>
            </w:pPr>
          </w:p>
          <w:p w14:paraId="0A9A4876" w14:textId="7BECCE9B" w:rsidR="00365945" w:rsidRDefault="00805524" w:rsidP="000C5D8C">
            <w:pPr>
              <w:contextualSpacing/>
              <w:rPr>
                <w:rFonts w:ascii="Arial" w:eastAsia="Calibri" w:hAnsi="Arial" w:cs="Arial"/>
                <w:bCs/>
                <w:iCs/>
                <w:color w:val="000000" w:themeColor="text1"/>
              </w:rPr>
            </w:pPr>
            <w:r>
              <w:rPr>
                <w:rFonts w:ascii="Arial" w:eastAsia="Calibri" w:hAnsi="Arial" w:cs="Arial"/>
                <w:bCs/>
                <w:iCs/>
                <w:color w:val="000000" w:themeColor="text1"/>
              </w:rPr>
              <w:t>Portfolio extracts demonstrated</w:t>
            </w:r>
            <w:r w:rsidR="00365945">
              <w:rPr>
                <w:rFonts w:ascii="Arial" w:eastAsia="Calibri" w:hAnsi="Arial" w:cs="Arial"/>
                <w:bCs/>
                <w:iCs/>
                <w:color w:val="000000" w:themeColor="text1"/>
              </w:rPr>
              <w:t xml:space="preserve"> that the process set out in the D</w:t>
            </w:r>
            <w:r w:rsidR="00F827C2">
              <w:rPr>
                <w:rFonts w:ascii="Arial" w:eastAsia="Calibri" w:hAnsi="Arial" w:cs="Arial"/>
                <w:bCs/>
                <w:iCs/>
                <w:color w:val="000000" w:themeColor="text1"/>
              </w:rPr>
              <w:t xml:space="preserve">GG </w:t>
            </w:r>
            <w:r w:rsidR="00365945">
              <w:rPr>
                <w:rFonts w:ascii="Arial" w:eastAsia="Calibri" w:hAnsi="Arial" w:cs="Arial"/>
                <w:bCs/>
                <w:iCs/>
                <w:color w:val="000000" w:themeColor="text1"/>
              </w:rPr>
              <w:t>in relation to ARCPs is followed.</w:t>
            </w:r>
          </w:p>
          <w:p w14:paraId="6C24EAAE" w14:textId="77777777" w:rsidR="00365945" w:rsidRDefault="00365945" w:rsidP="000C5D8C">
            <w:pPr>
              <w:contextualSpacing/>
              <w:rPr>
                <w:rFonts w:ascii="Arial" w:eastAsia="Calibri" w:hAnsi="Arial" w:cs="Arial"/>
                <w:bCs/>
                <w:iCs/>
                <w:color w:val="000000" w:themeColor="text1"/>
              </w:rPr>
            </w:pPr>
          </w:p>
          <w:p w14:paraId="5209CE1B" w14:textId="4D92C0E0" w:rsidR="00464408" w:rsidRDefault="00E47BDD" w:rsidP="000C5D8C">
            <w:pPr>
              <w:contextualSpacing/>
              <w:rPr>
                <w:rFonts w:ascii="Arial" w:eastAsia="Calibri" w:hAnsi="Arial" w:cs="Arial"/>
                <w:bCs/>
                <w:iCs/>
                <w:color w:val="000000" w:themeColor="text1"/>
              </w:rPr>
            </w:pPr>
            <w:r>
              <w:rPr>
                <w:rFonts w:ascii="Arial" w:eastAsia="Calibri" w:hAnsi="Arial" w:cs="Arial"/>
                <w:bCs/>
                <w:iCs/>
                <w:color w:val="000000" w:themeColor="text1"/>
              </w:rPr>
              <w:t>The following was confirmed in the portfolio extracts</w:t>
            </w:r>
            <w:r w:rsidR="00464408">
              <w:rPr>
                <w:rFonts w:ascii="Arial" w:eastAsia="Calibri" w:hAnsi="Arial" w:cs="Arial"/>
                <w:bCs/>
                <w:iCs/>
                <w:color w:val="000000" w:themeColor="text1"/>
              </w:rPr>
              <w:t>:</w:t>
            </w:r>
          </w:p>
          <w:p w14:paraId="49692AFD" w14:textId="77777777" w:rsidR="00464408" w:rsidRDefault="00464408" w:rsidP="000C5D8C">
            <w:pPr>
              <w:contextualSpacing/>
              <w:rPr>
                <w:rFonts w:ascii="Arial" w:eastAsia="Calibri" w:hAnsi="Arial" w:cs="Arial"/>
                <w:bCs/>
                <w:iCs/>
                <w:color w:val="000000" w:themeColor="text1"/>
              </w:rPr>
            </w:pPr>
          </w:p>
          <w:p w14:paraId="57FAB913" w14:textId="5AC8DBA8" w:rsidR="00464408" w:rsidRDefault="00464408" w:rsidP="000C5D8C">
            <w:pPr>
              <w:contextualSpacing/>
              <w:rPr>
                <w:rFonts w:ascii="Arial" w:eastAsia="Calibri" w:hAnsi="Arial" w:cs="Arial"/>
                <w:bCs/>
                <w:iCs/>
                <w:color w:val="000000" w:themeColor="text1"/>
              </w:rPr>
            </w:pPr>
            <w:r>
              <w:rPr>
                <w:rFonts w:ascii="Arial" w:eastAsia="Calibri" w:hAnsi="Arial" w:cs="Arial"/>
                <w:bCs/>
                <w:iCs/>
                <w:color w:val="000000" w:themeColor="text1"/>
              </w:rPr>
              <w:t>-</w:t>
            </w:r>
            <w:r w:rsidR="000C5D8C" w:rsidRPr="000C5D8C">
              <w:rPr>
                <w:rFonts w:ascii="Arial" w:eastAsia="Calibri" w:hAnsi="Arial" w:cs="Arial"/>
                <w:bCs/>
                <w:iCs/>
                <w:color w:val="000000" w:themeColor="text1"/>
              </w:rPr>
              <w:t xml:space="preserve"> that a range of </w:t>
            </w:r>
            <w:r w:rsidRPr="000C5D8C">
              <w:rPr>
                <w:rFonts w:ascii="Arial" w:eastAsia="Calibri" w:hAnsi="Arial" w:cs="Arial"/>
                <w:bCs/>
                <w:iCs/>
                <w:color w:val="000000" w:themeColor="text1"/>
              </w:rPr>
              <w:t>work-based</w:t>
            </w:r>
            <w:r w:rsidR="000C5D8C" w:rsidRPr="000C5D8C">
              <w:rPr>
                <w:rFonts w:ascii="Arial" w:eastAsia="Calibri" w:hAnsi="Arial" w:cs="Arial"/>
                <w:bCs/>
                <w:iCs/>
                <w:color w:val="000000" w:themeColor="text1"/>
              </w:rPr>
              <w:t xml:space="preserve"> assessments and clinical procedures have been undertaken</w:t>
            </w:r>
          </w:p>
          <w:p w14:paraId="6D788EBE" w14:textId="5934A1FF" w:rsidR="001807F4" w:rsidRDefault="00464408" w:rsidP="000C5D8C">
            <w:pPr>
              <w:contextualSpacing/>
              <w:rPr>
                <w:rFonts w:ascii="Arial" w:eastAsia="Calibri" w:hAnsi="Arial" w:cs="Arial"/>
                <w:bCs/>
                <w:iCs/>
                <w:color w:val="000000" w:themeColor="text1"/>
              </w:rPr>
            </w:pPr>
            <w:r>
              <w:rPr>
                <w:rFonts w:ascii="Arial" w:eastAsia="Calibri" w:hAnsi="Arial" w:cs="Arial"/>
                <w:bCs/>
                <w:iCs/>
                <w:color w:val="000000" w:themeColor="text1"/>
              </w:rPr>
              <w:t>-</w:t>
            </w:r>
            <w:r w:rsidR="000C5D8C" w:rsidRPr="000C5D8C">
              <w:rPr>
                <w:rFonts w:ascii="Arial" w:eastAsia="Calibri" w:hAnsi="Arial" w:cs="Arial"/>
                <w:bCs/>
                <w:iCs/>
                <w:color w:val="000000" w:themeColor="text1"/>
              </w:rPr>
              <w:t xml:space="preserve"> that in the </w:t>
            </w:r>
            <w:r w:rsidR="002824FC">
              <w:rPr>
                <w:rFonts w:ascii="Arial" w:eastAsia="Calibri" w:hAnsi="Arial" w:cs="Arial"/>
                <w:bCs/>
                <w:iCs/>
                <w:color w:val="000000" w:themeColor="text1"/>
              </w:rPr>
              <w:t>S</w:t>
            </w:r>
            <w:r>
              <w:rPr>
                <w:rFonts w:ascii="Arial" w:eastAsia="Calibri" w:hAnsi="Arial" w:cs="Arial"/>
                <w:bCs/>
                <w:iCs/>
                <w:color w:val="000000" w:themeColor="text1"/>
              </w:rPr>
              <w:t xml:space="preserve">pecialty </w:t>
            </w:r>
            <w:r w:rsidR="002824FC">
              <w:rPr>
                <w:rFonts w:ascii="Arial" w:eastAsia="Calibri" w:hAnsi="Arial" w:cs="Arial"/>
                <w:bCs/>
                <w:iCs/>
                <w:color w:val="000000" w:themeColor="text1"/>
              </w:rPr>
              <w:t>T</w:t>
            </w:r>
            <w:r>
              <w:rPr>
                <w:rFonts w:ascii="Arial" w:eastAsia="Calibri" w:hAnsi="Arial" w:cs="Arial"/>
                <w:bCs/>
                <w:iCs/>
                <w:color w:val="000000" w:themeColor="text1"/>
              </w:rPr>
              <w:t>rainee</w:t>
            </w:r>
            <w:r w:rsidR="002824FC">
              <w:rPr>
                <w:rFonts w:ascii="Arial" w:eastAsia="Calibri" w:hAnsi="Arial" w:cs="Arial"/>
                <w:bCs/>
                <w:iCs/>
                <w:color w:val="000000" w:themeColor="text1"/>
              </w:rPr>
              <w:t>’</w:t>
            </w:r>
            <w:r>
              <w:rPr>
                <w:rFonts w:ascii="Arial" w:eastAsia="Calibri" w:hAnsi="Arial" w:cs="Arial"/>
                <w:bCs/>
                <w:iCs/>
                <w:color w:val="000000" w:themeColor="text1"/>
              </w:rPr>
              <w:t xml:space="preserve">s </w:t>
            </w:r>
            <w:r w:rsidR="000C5D8C" w:rsidRPr="000C5D8C">
              <w:rPr>
                <w:rFonts w:ascii="Arial" w:eastAsia="Calibri" w:hAnsi="Arial" w:cs="Arial"/>
                <w:bCs/>
                <w:iCs/>
                <w:color w:val="000000" w:themeColor="text1"/>
              </w:rPr>
              <w:t xml:space="preserve">first year in DMF, there was an interim and annual </w:t>
            </w:r>
            <w:r w:rsidR="00950986">
              <w:rPr>
                <w:rFonts w:ascii="Arial" w:eastAsia="Calibri" w:hAnsi="Arial" w:cs="Arial"/>
                <w:bCs/>
                <w:iCs/>
                <w:color w:val="000000" w:themeColor="text1"/>
              </w:rPr>
              <w:t>ARCP</w:t>
            </w:r>
          </w:p>
          <w:p w14:paraId="72A099F7" w14:textId="46BEFAB5" w:rsidR="001807F4" w:rsidRDefault="001807F4" w:rsidP="000C5D8C">
            <w:pPr>
              <w:contextualSpacing/>
              <w:rPr>
                <w:rFonts w:ascii="Arial" w:eastAsia="Calibri" w:hAnsi="Arial" w:cs="Arial"/>
                <w:bCs/>
                <w:iCs/>
                <w:color w:val="000000" w:themeColor="text1"/>
              </w:rPr>
            </w:pPr>
            <w:r>
              <w:rPr>
                <w:rFonts w:ascii="Arial" w:eastAsia="Calibri" w:hAnsi="Arial" w:cs="Arial"/>
                <w:bCs/>
                <w:iCs/>
                <w:color w:val="000000" w:themeColor="text1"/>
              </w:rPr>
              <w:t xml:space="preserve">- </w:t>
            </w:r>
            <w:r w:rsidR="000C5D8C" w:rsidRPr="000C5D8C">
              <w:rPr>
                <w:rFonts w:ascii="Arial" w:eastAsia="Calibri" w:hAnsi="Arial" w:cs="Arial"/>
                <w:bCs/>
                <w:iCs/>
                <w:color w:val="000000" w:themeColor="text1"/>
              </w:rPr>
              <w:t xml:space="preserve">the number and type of </w:t>
            </w:r>
            <w:r w:rsidR="000B73EA">
              <w:rPr>
                <w:rFonts w:ascii="Arial" w:eastAsia="Calibri" w:hAnsi="Arial" w:cs="Arial"/>
                <w:bCs/>
                <w:iCs/>
                <w:color w:val="000000" w:themeColor="text1"/>
              </w:rPr>
              <w:t>workplace based assessments (</w:t>
            </w:r>
            <w:r w:rsidR="000C5D8C" w:rsidRPr="000C5D8C">
              <w:rPr>
                <w:rFonts w:ascii="Arial" w:eastAsia="Calibri" w:hAnsi="Arial" w:cs="Arial"/>
                <w:bCs/>
                <w:iCs/>
                <w:color w:val="000000" w:themeColor="text1"/>
              </w:rPr>
              <w:t>WPBAs</w:t>
            </w:r>
            <w:r w:rsidR="000B73EA">
              <w:rPr>
                <w:rFonts w:ascii="Arial" w:eastAsia="Calibri" w:hAnsi="Arial" w:cs="Arial"/>
                <w:bCs/>
                <w:iCs/>
                <w:color w:val="000000" w:themeColor="text1"/>
              </w:rPr>
              <w:t>)</w:t>
            </w:r>
            <w:r w:rsidR="000C5D8C" w:rsidRPr="000C5D8C">
              <w:rPr>
                <w:rFonts w:ascii="Arial" w:eastAsia="Calibri" w:hAnsi="Arial" w:cs="Arial"/>
                <w:bCs/>
                <w:iCs/>
                <w:color w:val="000000" w:themeColor="text1"/>
              </w:rPr>
              <w:t xml:space="preserve"> undertaken </w:t>
            </w:r>
          </w:p>
          <w:p w14:paraId="68DB72D4" w14:textId="0457E5E8" w:rsidR="00506BC8" w:rsidRDefault="001807F4" w:rsidP="000C5D8C">
            <w:pPr>
              <w:contextualSpacing/>
              <w:rPr>
                <w:rFonts w:ascii="Arial" w:eastAsia="Calibri" w:hAnsi="Arial" w:cs="Arial"/>
                <w:bCs/>
                <w:iCs/>
                <w:color w:val="000000" w:themeColor="text1"/>
              </w:rPr>
            </w:pPr>
            <w:r>
              <w:rPr>
                <w:rFonts w:ascii="Arial" w:eastAsia="Calibri" w:hAnsi="Arial" w:cs="Arial"/>
                <w:bCs/>
                <w:iCs/>
                <w:color w:val="000000" w:themeColor="text1"/>
              </w:rPr>
              <w:t>-</w:t>
            </w:r>
            <w:r w:rsidR="000C5D8C" w:rsidRPr="000C5D8C">
              <w:rPr>
                <w:rFonts w:ascii="Arial" w:eastAsia="Calibri" w:hAnsi="Arial" w:cs="Arial"/>
                <w:bCs/>
                <w:iCs/>
                <w:color w:val="000000" w:themeColor="text1"/>
              </w:rPr>
              <w:t xml:space="preserve"> a learning agreement for a </w:t>
            </w:r>
            <w:r w:rsidR="00250ECC" w:rsidRPr="000C5D8C">
              <w:rPr>
                <w:rFonts w:ascii="Arial" w:eastAsia="Calibri" w:hAnsi="Arial" w:cs="Arial"/>
                <w:bCs/>
                <w:iCs/>
                <w:color w:val="000000" w:themeColor="text1"/>
              </w:rPr>
              <w:t>first-year</w:t>
            </w:r>
            <w:r w:rsidR="000C5D8C" w:rsidRPr="000C5D8C">
              <w:rPr>
                <w:rFonts w:ascii="Arial" w:eastAsia="Calibri" w:hAnsi="Arial" w:cs="Arial"/>
                <w:bCs/>
                <w:iCs/>
                <w:color w:val="000000" w:themeColor="text1"/>
              </w:rPr>
              <w:t xml:space="preserve"> oral surgery </w:t>
            </w:r>
            <w:r w:rsidR="002824FC">
              <w:rPr>
                <w:rFonts w:ascii="Arial" w:eastAsia="Calibri" w:hAnsi="Arial" w:cs="Arial"/>
                <w:bCs/>
                <w:iCs/>
                <w:color w:val="000000" w:themeColor="text1"/>
              </w:rPr>
              <w:t>S</w:t>
            </w:r>
            <w:r w:rsidR="00250ECC">
              <w:rPr>
                <w:rFonts w:ascii="Arial" w:eastAsia="Calibri" w:hAnsi="Arial" w:cs="Arial"/>
                <w:bCs/>
                <w:iCs/>
                <w:color w:val="000000" w:themeColor="text1"/>
              </w:rPr>
              <w:t xml:space="preserve">pecialty </w:t>
            </w:r>
            <w:r w:rsidR="002824FC">
              <w:rPr>
                <w:rFonts w:ascii="Arial" w:eastAsia="Calibri" w:hAnsi="Arial" w:cs="Arial"/>
                <w:bCs/>
                <w:iCs/>
                <w:color w:val="000000" w:themeColor="text1"/>
              </w:rPr>
              <w:t>T</w:t>
            </w:r>
            <w:r w:rsidR="00250ECC">
              <w:rPr>
                <w:rFonts w:ascii="Arial" w:eastAsia="Calibri" w:hAnsi="Arial" w:cs="Arial"/>
                <w:bCs/>
                <w:iCs/>
                <w:color w:val="000000" w:themeColor="text1"/>
              </w:rPr>
              <w:t>rainee</w:t>
            </w:r>
            <w:r w:rsidR="000C5D8C" w:rsidRPr="000C5D8C">
              <w:rPr>
                <w:rFonts w:ascii="Arial" w:eastAsia="Calibri" w:hAnsi="Arial" w:cs="Arial"/>
                <w:bCs/>
                <w:iCs/>
                <w:color w:val="000000" w:themeColor="text1"/>
              </w:rPr>
              <w:t xml:space="preserve"> and the objectives agreed</w:t>
            </w:r>
          </w:p>
          <w:p w14:paraId="444DE8D2" w14:textId="3B1B9A85" w:rsidR="00E47BDD" w:rsidRDefault="00506BC8" w:rsidP="000C5D8C">
            <w:pPr>
              <w:contextualSpacing/>
              <w:rPr>
                <w:rFonts w:ascii="Arial" w:eastAsia="Calibri" w:hAnsi="Arial" w:cs="Arial"/>
                <w:bCs/>
                <w:iCs/>
                <w:color w:val="000000" w:themeColor="text1"/>
              </w:rPr>
            </w:pPr>
            <w:r>
              <w:rPr>
                <w:rFonts w:ascii="Arial" w:eastAsia="Calibri" w:hAnsi="Arial" w:cs="Arial"/>
                <w:bCs/>
                <w:iCs/>
                <w:color w:val="000000" w:themeColor="text1"/>
              </w:rPr>
              <w:t xml:space="preserve">- </w:t>
            </w:r>
            <w:r w:rsidRPr="000C5D8C">
              <w:rPr>
                <w:rFonts w:ascii="Arial" w:eastAsia="Calibri" w:hAnsi="Arial" w:cs="Arial"/>
                <w:bCs/>
                <w:iCs/>
                <w:color w:val="000000" w:themeColor="text1"/>
              </w:rPr>
              <w:t xml:space="preserve">multi source feedback for an oral surgery </w:t>
            </w:r>
            <w:r w:rsidR="002824FC">
              <w:rPr>
                <w:rFonts w:ascii="Arial" w:eastAsia="Calibri" w:hAnsi="Arial" w:cs="Arial"/>
                <w:bCs/>
                <w:iCs/>
                <w:color w:val="000000" w:themeColor="text1"/>
              </w:rPr>
              <w:t>Specialty Trainee</w:t>
            </w:r>
          </w:p>
          <w:p w14:paraId="2CD6734C" w14:textId="76480282" w:rsidR="00785E1C" w:rsidRDefault="00785E1C" w:rsidP="000C5D8C">
            <w:pPr>
              <w:contextualSpacing/>
              <w:rPr>
                <w:rFonts w:ascii="Arial" w:eastAsia="Calibri" w:hAnsi="Arial" w:cs="Arial"/>
                <w:bCs/>
                <w:iCs/>
                <w:color w:val="000000" w:themeColor="text1"/>
              </w:rPr>
            </w:pPr>
            <w:r>
              <w:rPr>
                <w:rFonts w:ascii="Arial" w:eastAsia="Calibri" w:hAnsi="Arial" w:cs="Arial"/>
                <w:bCs/>
                <w:iCs/>
                <w:color w:val="000000" w:themeColor="text1"/>
              </w:rPr>
              <w:t xml:space="preserve">- </w:t>
            </w:r>
            <w:r w:rsidRPr="000C5D8C">
              <w:rPr>
                <w:rFonts w:ascii="Arial" w:eastAsia="Calibri" w:hAnsi="Arial" w:cs="Arial"/>
                <w:bCs/>
                <w:iCs/>
                <w:color w:val="000000" w:themeColor="text1"/>
              </w:rPr>
              <w:t>reflection on patient feedback in a paediatric setting.</w:t>
            </w:r>
          </w:p>
          <w:p w14:paraId="439533A1" w14:textId="4DEA91D0" w:rsidR="009710B2" w:rsidRDefault="009710B2" w:rsidP="000C5D8C">
            <w:pPr>
              <w:contextualSpacing/>
              <w:rPr>
                <w:rFonts w:ascii="Arial" w:eastAsia="Calibri" w:hAnsi="Arial" w:cs="Arial"/>
                <w:bCs/>
                <w:iCs/>
                <w:color w:val="000000" w:themeColor="text1"/>
              </w:rPr>
            </w:pPr>
          </w:p>
          <w:p w14:paraId="3AE8A8BD" w14:textId="6DF67588" w:rsidR="009710B2" w:rsidRDefault="009710B2" w:rsidP="000C5D8C">
            <w:pPr>
              <w:contextualSpacing/>
              <w:rPr>
                <w:rFonts w:ascii="Arial" w:eastAsia="Calibri" w:hAnsi="Arial" w:cs="Arial"/>
                <w:bCs/>
                <w:iCs/>
                <w:color w:val="000000" w:themeColor="text1"/>
              </w:rPr>
            </w:pPr>
            <w:r>
              <w:rPr>
                <w:rFonts w:ascii="Arial" w:eastAsia="Calibri" w:hAnsi="Arial" w:cs="Arial"/>
                <w:bCs/>
                <w:iCs/>
                <w:color w:val="000000" w:themeColor="text1"/>
              </w:rPr>
              <w:t>The p</w:t>
            </w:r>
            <w:r w:rsidRPr="00D16CB3">
              <w:rPr>
                <w:rFonts w:ascii="Arial" w:eastAsia="Calibri" w:hAnsi="Arial" w:cs="Arial"/>
                <w:bCs/>
                <w:iCs/>
                <w:color w:val="000000" w:themeColor="text1"/>
              </w:rPr>
              <w:t>ortfolios presented</w:t>
            </w:r>
            <w:r>
              <w:rPr>
                <w:rFonts w:ascii="Arial" w:eastAsia="Calibri" w:hAnsi="Arial" w:cs="Arial"/>
                <w:bCs/>
                <w:iCs/>
                <w:color w:val="000000" w:themeColor="text1"/>
              </w:rPr>
              <w:t xml:space="preserve"> to us also</w:t>
            </w:r>
            <w:r w:rsidRPr="00D16CB3">
              <w:rPr>
                <w:rFonts w:ascii="Arial" w:eastAsia="Calibri" w:hAnsi="Arial" w:cs="Arial"/>
                <w:bCs/>
                <w:iCs/>
                <w:color w:val="000000" w:themeColor="text1"/>
              </w:rPr>
              <w:t xml:space="preserve"> confirm</w:t>
            </w:r>
            <w:r>
              <w:rPr>
                <w:rFonts w:ascii="Arial" w:eastAsia="Calibri" w:hAnsi="Arial" w:cs="Arial"/>
                <w:bCs/>
                <w:iCs/>
                <w:color w:val="000000" w:themeColor="text1"/>
              </w:rPr>
              <w:t>ed</w:t>
            </w:r>
            <w:r w:rsidRPr="00D16CB3">
              <w:rPr>
                <w:rFonts w:ascii="Arial" w:eastAsia="Calibri" w:hAnsi="Arial" w:cs="Arial"/>
                <w:bCs/>
                <w:iCs/>
                <w:color w:val="000000" w:themeColor="text1"/>
              </w:rPr>
              <w:t xml:space="preserve"> multisource feedback</w:t>
            </w:r>
            <w:r>
              <w:rPr>
                <w:rFonts w:ascii="Arial" w:eastAsia="Calibri" w:hAnsi="Arial" w:cs="Arial"/>
                <w:bCs/>
                <w:iCs/>
                <w:color w:val="000000" w:themeColor="text1"/>
              </w:rPr>
              <w:t xml:space="preserve"> which</w:t>
            </w:r>
            <w:r w:rsidRPr="00D16CB3">
              <w:rPr>
                <w:rFonts w:ascii="Arial" w:eastAsia="Calibri" w:hAnsi="Arial" w:cs="Arial"/>
                <w:bCs/>
                <w:iCs/>
                <w:color w:val="000000" w:themeColor="text1"/>
              </w:rPr>
              <w:t xml:space="preserve"> includ</w:t>
            </w:r>
            <w:r>
              <w:rPr>
                <w:rFonts w:ascii="Arial" w:eastAsia="Calibri" w:hAnsi="Arial" w:cs="Arial"/>
                <w:bCs/>
                <w:iCs/>
                <w:color w:val="000000" w:themeColor="text1"/>
              </w:rPr>
              <w:t xml:space="preserve">es </w:t>
            </w:r>
            <w:r w:rsidRPr="00D16CB3">
              <w:rPr>
                <w:rFonts w:ascii="Arial" w:eastAsia="Calibri" w:hAnsi="Arial" w:cs="Arial"/>
                <w:bCs/>
                <w:iCs/>
                <w:color w:val="000000" w:themeColor="text1"/>
              </w:rPr>
              <w:t>patient feedback, targeted PDP and W</w:t>
            </w:r>
            <w:r w:rsidR="000B73EA">
              <w:rPr>
                <w:rFonts w:ascii="Arial" w:eastAsia="Calibri" w:hAnsi="Arial" w:cs="Arial"/>
                <w:bCs/>
                <w:iCs/>
                <w:color w:val="000000" w:themeColor="text1"/>
              </w:rPr>
              <w:t>P</w:t>
            </w:r>
            <w:r w:rsidRPr="00D16CB3">
              <w:rPr>
                <w:rFonts w:ascii="Arial" w:eastAsia="Calibri" w:hAnsi="Arial" w:cs="Arial"/>
                <w:bCs/>
                <w:iCs/>
                <w:color w:val="000000" w:themeColor="text1"/>
              </w:rPr>
              <w:t>BA as per curriculum on multiple occasions with feedback from different supervisors and trainee reflection.</w:t>
            </w:r>
          </w:p>
          <w:p w14:paraId="4E0D69FC" w14:textId="73A7BFE9" w:rsidR="00E00A8D" w:rsidRDefault="00E00A8D" w:rsidP="000C5D8C">
            <w:pPr>
              <w:contextualSpacing/>
              <w:rPr>
                <w:rFonts w:ascii="Arial" w:eastAsia="Calibri" w:hAnsi="Arial" w:cs="Arial"/>
                <w:bCs/>
                <w:iCs/>
                <w:color w:val="000000" w:themeColor="text1"/>
              </w:rPr>
            </w:pPr>
          </w:p>
          <w:p w14:paraId="057A45E9" w14:textId="37E6703C" w:rsidR="00E00A8D" w:rsidRDefault="00E00A8D" w:rsidP="000C5D8C">
            <w:pPr>
              <w:contextualSpacing/>
              <w:rPr>
                <w:rFonts w:ascii="Arial" w:eastAsia="Calibri" w:hAnsi="Arial" w:cs="Arial"/>
                <w:bCs/>
                <w:iCs/>
                <w:color w:val="000000" w:themeColor="text1"/>
              </w:rPr>
            </w:pPr>
            <w:r>
              <w:rPr>
                <w:rFonts w:ascii="Arial" w:eastAsia="Calibri" w:hAnsi="Arial" w:cs="Arial"/>
                <w:bCs/>
                <w:iCs/>
                <w:color w:val="000000" w:themeColor="text1"/>
              </w:rPr>
              <w:t xml:space="preserve">We consider this Requirement to be </w:t>
            </w:r>
            <w:r w:rsidRPr="00D8280A">
              <w:rPr>
                <w:rFonts w:ascii="Arial" w:eastAsia="Calibri" w:hAnsi="Arial" w:cs="Arial"/>
                <w:b/>
                <w:iCs/>
                <w:color w:val="000000" w:themeColor="text1"/>
              </w:rPr>
              <w:t>met</w:t>
            </w:r>
            <w:r>
              <w:rPr>
                <w:rFonts w:ascii="Arial" w:eastAsia="Calibri" w:hAnsi="Arial" w:cs="Arial"/>
                <w:bCs/>
                <w:iCs/>
                <w:color w:val="000000" w:themeColor="text1"/>
              </w:rPr>
              <w:t>.</w:t>
            </w:r>
          </w:p>
          <w:p w14:paraId="1DE2E025" w14:textId="77777777" w:rsidR="008B466F" w:rsidRDefault="008B466F" w:rsidP="00D6729D">
            <w:pPr>
              <w:contextualSpacing/>
              <w:rPr>
                <w:rFonts w:ascii="Arial" w:hAnsi="Arial" w:cs="Arial"/>
              </w:rPr>
            </w:pPr>
          </w:p>
          <w:p w14:paraId="50AB3BD8" w14:textId="539E0C30" w:rsidR="00C10F0C" w:rsidRDefault="005D5820" w:rsidP="00D6729D">
            <w:pPr>
              <w:contextualSpacing/>
              <w:rPr>
                <w:rFonts w:ascii="Arial" w:hAnsi="Arial" w:cs="Arial"/>
                <w:b/>
                <w:iCs/>
              </w:rPr>
            </w:pPr>
            <w:r>
              <w:rPr>
                <w:rFonts w:ascii="Arial" w:eastAsia="Calibri" w:hAnsi="Arial" w:cs="Arial"/>
                <w:b/>
                <w:color w:val="000000" w:themeColor="text1"/>
              </w:rPr>
              <w:t>P</w:t>
            </w:r>
            <w:r w:rsidR="00E2148E">
              <w:rPr>
                <w:rFonts w:ascii="Arial" w:eastAsia="Calibri" w:hAnsi="Arial" w:cs="Arial"/>
                <w:b/>
                <w:color w:val="000000" w:themeColor="text1"/>
              </w:rPr>
              <w:t xml:space="preserve">14: </w:t>
            </w:r>
            <w:r w:rsidR="00C10F0C" w:rsidRPr="00C10F0C">
              <w:rPr>
                <w:rFonts w:ascii="Arial" w:hAnsi="Arial" w:cs="Arial"/>
                <w:b/>
                <w:iCs/>
              </w:rPr>
              <w:t>Assessment must involve a range of methods appropriate to the learning outcomes and these should be in line with current and best practice and be routinely developed, refined, monitored and quality managed.</w:t>
            </w:r>
            <w:r w:rsidR="00C10F0C">
              <w:rPr>
                <w:rFonts w:ascii="Arial" w:hAnsi="Arial" w:cs="Arial"/>
                <w:b/>
                <w:iCs/>
              </w:rPr>
              <w:t xml:space="preserve"> </w:t>
            </w:r>
            <w:r w:rsidR="00EA58BF">
              <w:rPr>
                <w:rFonts w:ascii="Arial" w:hAnsi="Arial" w:cs="Arial"/>
                <w:b/>
                <w:iCs/>
              </w:rPr>
              <w:t>(</w:t>
            </w:r>
            <w:r w:rsidR="00C10F0C">
              <w:rPr>
                <w:rFonts w:ascii="Arial" w:hAnsi="Arial" w:cs="Arial"/>
                <w:b/>
                <w:iCs/>
              </w:rPr>
              <w:t xml:space="preserve">Requirement </w:t>
            </w:r>
            <w:r w:rsidR="00C8485F" w:rsidRPr="00DC4E82">
              <w:rPr>
                <w:rFonts w:ascii="Arial" w:eastAsia="Calibri" w:hAnsi="Arial" w:cs="Arial"/>
                <w:b/>
                <w:iCs/>
              </w:rPr>
              <w:t>Met</w:t>
            </w:r>
            <w:r w:rsidR="00EA58BF">
              <w:rPr>
                <w:rFonts w:ascii="Arial" w:hAnsi="Arial" w:cs="Arial"/>
                <w:b/>
                <w:iCs/>
              </w:rPr>
              <w:t>)</w:t>
            </w:r>
            <w:r w:rsidR="00C10F0C">
              <w:rPr>
                <w:rFonts w:ascii="Arial" w:hAnsi="Arial" w:cs="Arial"/>
                <w:b/>
                <w:iCs/>
              </w:rPr>
              <w:t>.</w:t>
            </w:r>
          </w:p>
          <w:p w14:paraId="26B60175" w14:textId="2F62B920" w:rsidR="00E47500" w:rsidRDefault="00E47500" w:rsidP="00D6729D">
            <w:pPr>
              <w:contextualSpacing/>
              <w:rPr>
                <w:rFonts w:ascii="Arial" w:hAnsi="Arial" w:cs="Arial"/>
                <w:b/>
                <w:iCs/>
              </w:rPr>
            </w:pPr>
          </w:p>
          <w:p w14:paraId="7F22A821" w14:textId="27A4C8E6" w:rsidR="00894583" w:rsidRDefault="002C4954" w:rsidP="00E47500">
            <w:pPr>
              <w:contextualSpacing/>
              <w:rPr>
                <w:rFonts w:ascii="Arial" w:hAnsi="Arial" w:cs="Arial"/>
                <w:bCs/>
                <w:iCs/>
              </w:rPr>
            </w:pPr>
            <w:r>
              <w:rPr>
                <w:rFonts w:ascii="Arial" w:hAnsi="Arial" w:cs="Arial"/>
                <w:bCs/>
                <w:iCs/>
              </w:rPr>
              <w:t>Evidence provided previously in this standard,</w:t>
            </w:r>
            <w:r w:rsidR="00894583" w:rsidRPr="00DD50D1">
              <w:rPr>
                <w:rFonts w:ascii="Arial" w:hAnsi="Arial" w:cs="Arial"/>
                <w:bCs/>
                <w:iCs/>
              </w:rPr>
              <w:t xml:space="preserve"> demonstrate HEE SW </w:t>
            </w:r>
            <w:r w:rsidR="00F77721" w:rsidRPr="00DD50D1">
              <w:rPr>
                <w:rFonts w:ascii="Arial" w:hAnsi="Arial" w:cs="Arial"/>
                <w:bCs/>
                <w:iCs/>
              </w:rPr>
              <w:t>TVW</w:t>
            </w:r>
            <w:r w:rsidR="002824FC">
              <w:rPr>
                <w:rFonts w:ascii="Arial" w:hAnsi="Arial" w:cs="Arial"/>
                <w:bCs/>
                <w:iCs/>
              </w:rPr>
              <w:t>’s</w:t>
            </w:r>
            <w:r w:rsidR="00F77721" w:rsidRPr="00DD50D1">
              <w:rPr>
                <w:rFonts w:ascii="Arial" w:hAnsi="Arial" w:cs="Arial"/>
                <w:bCs/>
                <w:iCs/>
              </w:rPr>
              <w:t xml:space="preserve"> range</w:t>
            </w:r>
            <w:r w:rsidR="00894583" w:rsidRPr="00DD50D1">
              <w:rPr>
                <w:rFonts w:ascii="Arial" w:hAnsi="Arial" w:cs="Arial"/>
                <w:bCs/>
                <w:iCs/>
              </w:rPr>
              <w:t xml:space="preserve"> of approaches to ensure regular monitoring of training.</w:t>
            </w:r>
          </w:p>
          <w:p w14:paraId="5B1377ED" w14:textId="77777777" w:rsidR="00894583" w:rsidRDefault="00894583" w:rsidP="00E47500">
            <w:pPr>
              <w:contextualSpacing/>
              <w:rPr>
                <w:rFonts w:ascii="Arial" w:hAnsi="Arial" w:cs="Arial"/>
                <w:bCs/>
                <w:iCs/>
              </w:rPr>
            </w:pPr>
          </w:p>
          <w:p w14:paraId="611E0DAA" w14:textId="372744D8" w:rsidR="00557477" w:rsidRDefault="005724D4" w:rsidP="00557477">
            <w:pPr>
              <w:contextualSpacing/>
              <w:rPr>
                <w:rFonts w:ascii="Arial" w:hAnsi="Arial" w:cs="Arial"/>
                <w:bCs/>
                <w:iCs/>
              </w:rPr>
            </w:pPr>
            <w:r>
              <w:rPr>
                <w:rFonts w:ascii="Arial" w:hAnsi="Arial" w:cs="Arial"/>
                <w:bCs/>
                <w:iCs/>
              </w:rPr>
              <w:t xml:space="preserve">The </w:t>
            </w:r>
            <w:r w:rsidR="00E47500" w:rsidRPr="00E47500">
              <w:rPr>
                <w:rFonts w:ascii="Arial" w:hAnsi="Arial" w:cs="Arial"/>
                <w:bCs/>
                <w:iCs/>
              </w:rPr>
              <w:t>HEE Quality Framework sets out HEE’s expectations for quality within the learning environment</w:t>
            </w:r>
            <w:r>
              <w:rPr>
                <w:rFonts w:ascii="Arial" w:hAnsi="Arial" w:cs="Arial"/>
                <w:bCs/>
                <w:iCs/>
              </w:rPr>
              <w:t xml:space="preserve"> </w:t>
            </w:r>
            <w:r w:rsidR="00E47500" w:rsidRPr="00E47500">
              <w:rPr>
                <w:rFonts w:ascii="Arial" w:hAnsi="Arial" w:cs="Arial"/>
                <w:bCs/>
                <w:iCs/>
              </w:rPr>
              <w:t>and represents a single framework through which HEE will measure, identify and improve the quality of education and training</w:t>
            </w:r>
            <w:r>
              <w:rPr>
                <w:rFonts w:ascii="Arial" w:hAnsi="Arial" w:cs="Arial"/>
                <w:bCs/>
                <w:iCs/>
              </w:rPr>
              <w:t>.</w:t>
            </w:r>
          </w:p>
          <w:p w14:paraId="7888EF3A" w14:textId="384E7F54" w:rsidR="00CA31E7" w:rsidRDefault="00CA31E7" w:rsidP="00557477">
            <w:pPr>
              <w:contextualSpacing/>
              <w:rPr>
                <w:rFonts w:ascii="Arial" w:hAnsi="Arial" w:cs="Arial"/>
                <w:bCs/>
                <w:iCs/>
              </w:rPr>
            </w:pPr>
          </w:p>
          <w:p w14:paraId="36778BB6" w14:textId="104FE840" w:rsidR="00CA31E7" w:rsidRDefault="00CA31E7" w:rsidP="00557477">
            <w:pPr>
              <w:contextualSpacing/>
              <w:rPr>
                <w:rFonts w:ascii="Arial" w:hAnsi="Arial" w:cs="Arial"/>
                <w:bCs/>
                <w:iCs/>
              </w:rPr>
            </w:pPr>
            <w:r>
              <w:rPr>
                <w:rFonts w:ascii="Arial" w:hAnsi="Arial" w:cs="Arial"/>
                <w:bCs/>
                <w:iCs/>
              </w:rPr>
              <w:t>Evidence was seen under P12 and 13 which demonstrates HEE SW TVW range of approaches to ensure regular monitoring of training.</w:t>
            </w:r>
          </w:p>
          <w:p w14:paraId="67E20DE0" w14:textId="77777777" w:rsidR="00B13CFB" w:rsidRDefault="00B13CFB" w:rsidP="00557477">
            <w:pPr>
              <w:contextualSpacing/>
            </w:pPr>
          </w:p>
          <w:p w14:paraId="1D64C4D3" w14:textId="07013013" w:rsidR="00D501DC" w:rsidRDefault="005800D1" w:rsidP="00E47500">
            <w:pPr>
              <w:contextualSpacing/>
              <w:rPr>
                <w:rFonts w:ascii="Arial" w:hAnsi="Arial" w:cs="Arial"/>
                <w:bCs/>
                <w:iCs/>
              </w:rPr>
            </w:pPr>
            <w:r w:rsidRPr="00DD50D1">
              <w:rPr>
                <w:rFonts w:ascii="Arial" w:hAnsi="Arial" w:cs="Arial"/>
                <w:bCs/>
                <w:iCs/>
              </w:rPr>
              <w:lastRenderedPageBreak/>
              <w:t xml:space="preserve">Completion of competences is confirmed by review </w:t>
            </w:r>
            <w:r w:rsidR="00A95535" w:rsidRPr="00DD50D1">
              <w:rPr>
                <w:rFonts w:ascii="Arial" w:hAnsi="Arial" w:cs="Arial"/>
                <w:bCs/>
                <w:iCs/>
              </w:rPr>
              <w:t xml:space="preserve">of </w:t>
            </w:r>
            <w:r w:rsidR="00A95535">
              <w:rPr>
                <w:rFonts w:ascii="Arial" w:hAnsi="Arial" w:cs="Arial"/>
                <w:bCs/>
                <w:iCs/>
              </w:rPr>
              <w:t xml:space="preserve">the </w:t>
            </w:r>
            <w:r w:rsidR="000B73EA">
              <w:rPr>
                <w:rFonts w:ascii="Arial" w:hAnsi="Arial" w:cs="Arial"/>
                <w:bCs/>
                <w:iCs/>
              </w:rPr>
              <w:t>WPBA</w:t>
            </w:r>
            <w:r w:rsidRPr="00DD50D1">
              <w:rPr>
                <w:rFonts w:ascii="Arial" w:hAnsi="Arial" w:cs="Arial"/>
                <w:bCs/>
                <w:iCs/>
              </w:rPr>
              <w:t>, logbook, trainee and trainer</w:t>
            </w:r>
            <w:r w:rsidR="002824FC">
              <w:rPr>
                <w:rFonts w:ascii="Arial" w:hAnsi="Arial" w:cs="Arial"/>
                <w:bCs/>
                <w:iCs/>
              </w:rPr>
              <w:t>s’</w:t>
            </w:r>
            <w:r w:rsidRPr="00DD50D1">
              <w:rPr>
                <w:rFonts w:ascii="Arial" w:hAnsi="Arial" w:cs="Arial"/>
                <w:bCs/>
                <w:iCs/>
              </w:rPr>
              <w:t xml:space="preserve"> reflection</w:t>
            </w:r>
            <w:r w:rsidR="002824FC">
              <w:rPr>
                <w:rFonts w:ascii="Arial" w:hAnsi="Arial" w:cs="Arial"/>
                <w:bCs/>
                <w:iCs/>
              </w:rPr>
              <w:t>s</w:t>
            </w:r>
            <w:r w:rsidRPr="00DD50D1">
              <w:rPr>
                <w:rFonts w:ascii="Arial" w:hAnsi="Arial" w:cs="Arial"/>
                <w:bCs/>
                <w:iCs/>
              </w:rPr>
              <w:t>, and patient and colleague</w:t>
            </w:r>
            <w:r w:rsidR="002824FC">
              <w:rPr>
                <w:rFonts w:ascii="Arial" w:hAnsi="Arial" w:cs="Arial"/>
                <w:bCs/>
                <w:iCs/>
              </w:rPr>
              <w:t>s’</w:t>
            </w:r>
            <w:r w:rsidRPr="00DD50D1">
              <w:rPr>
                <w:rFonts w:ascii="Arial" w:hAnsi="Arial" w:cs="Arial"/>
                <w:bCs/>
                <w:iCs/>
              </w:rPr>
              <w:t xml:space="preserve"> feedback, all of which are recorded in the trainee</w:t>
            </w:r>
            <w:r w:rsidR="00BA4A24">
              <w:rPr>
                <w:rFonts w:ascii="Arial" w:hAnsi="Arial" w:cs="Arial"/>
                <w:bCs/>
                <w:iCs/>
              </w:rPr>
              <w:t>’s</w:t>
            </w:r>
            <w:r w:rsidRPr="00DD50D1">
              <w:rPr>
                <w:rFonts w:ascii="Arial" w:hAnsi="Arial" w:cs="Arial"/>
                <w:bCs/>
                <w:iCs/>
              </w:rPr>
              <w:t xml:space="preserve"> e portfolio. To support this</w:t>
            </w:r>
            <w:r w:rsidR="00BA4A24">
              <w:rPr>
                <w:rFonts w:ascii="Arial" w:hAnsi="Arial" w:cs="Arial"/>
                <w:bCs/>
                <w:iCs/>
              </w:rPr>
              <w:t>,</w:t>
            </w:r>
            <w:r w:rsidRPr="00DD50D1">
              <w:rPr>
                <w:rFonts w:ascii="Arial" w:hAnsi="Arial" w:cs="Arial"/>
                <w:bCs/>
                <w:iCs/>
              </w:rPr>
              <w:t xml:space="preserve"> ES &amp; </w:t>
            </w:r>
            <w:r w:rsidR="00F77721" w:rsidRPr="00DD50D1">
              <w:rPr>
                <w:rFonts w:ascii="Arial" w:hAnsi="Arial" w:cs="Arial"/>
                <w:bCs/>
                <w:iCs/>
              </w:rPr>
              <w:t>CS must</w:t>
            </w:r>
            <w:r w:rsidRPr="00DD50D1">
              <w:rPr>
                <w:rFonts w:ascii="Arial" w:hAnsi="Arial" w:cs="Arial"/>
                <w:bCs/>
                <w:iCs/>
              </w:rPr>
              <w:t xml:space="preserve"> undertake</w:t>
            </w:r>
            <w:r>
              <w:rPr>
                <w:rFonts w:ascii="Arial" w:hAnsi="Arial" w:cs="Arial"/>
                <w:bCs/>
                <w:iCs/>
              </w:rPr>
              <w:t xml:space="preserve"> robust</w:t>
            </w:r>
            <w:r w:rsidR="00BA4A24">
              <w:rPr>
                <w:rFonts w:ascii="Arial" w:hAnsi="Arial" w:cs="Arial"/>
                <w:bCs/>
                <w:iCs/>
              </w:rPr>
              <w:t xml:space="preserve"> appraisals.</w:t>
            </w:r>
            <w:r w:rsidRPr="00DD50D1">
              <w:rPr>
                <w:rFonts w:ascii="Arial" w:hAnsi="Arial" w:cs="Arial"/>
                <w:bCs/>
                <w:iCs/>
              </w:rPr>
              <w:t xml:space="preserve"> HEE SW and TVW training modules includ</w:t>
            </w:r>
            <w:r w:rsidR="00BA4A24">
              <w:rPr>
                <w:rFonts w:ascii="Arial" w:hAnsi="Arial" w:cs="Arial"/>
                <w:bCs/>
                <w:iCs/>
              </w:rPr>
              <w:t>e</w:t>
            </w:r>
            <w:r w:rsidRPr="00DD50D1">
              <w:rPr>
                <w:rFonts w:ascii="Arial" w:hAnsi="Arial" w:cs="Arial"/>
                <w:bCs/>
                <w:iCs/>
              </w:rPr>
              <w:t xml:space="preserve"> a module on W</w:t>
            </w:r>
            <w:r w:rsidR="00D031A4">
              <w:rPr>
                <w:rFonts w:ascii="Arial" w:hAnsi="Arial" w:cs="Arial"/>
                <w:bCs/>
                <w:iCs/>
              </w:rPr>
              <w:t>P</w:t>
            </w:r>
            <w:r w:rsidRPr="00DD50D1">
              <w:rPr>
                <w:rFonts w:ascii="Arial" w:hAnsi="Arial" w:cs="Arial"/>
                <w:bCs/>
                <w:iCs/>
              </w:rPr>
              <w:t>BA, appraisal and feedback</w:t>
            </w:r>
            <w:r w:rsidR="00BA4A24">
              <w:rPr>
                <w:rFonts w:ascii="Arial" w:hAnsi="Arial" w:cs="Arial"/>
                <w:bCs/>
                <w:iCs/>
              </w:rPr>
              <w:t>.</w:t>
            </w:r>
            <w:r w:rsidRPr="00DD50D1">
              <w:rPr>
                <w:rFonts w:ascii="Arial" w:hAnsi="Arial" w:cs="Arial"/>
                <w:bCs/>
                <w:iCs/>
              </w:rPr>
              <w:t xml:space="preserve"> </w:t>
            </w:r>
            <w:r w:rsidR="00BA4A24">
              <w:rPr>
                <w:rFonts w:ascii="Arial" w:hAnsi="Arial" w:cs="Arial"/>
                <w:bCs/>
                <w:iCs/>
              </w:rPr>
              <w:t>T</w:t>
            </w:r>
            <w:r w:rsidRPr="00DD50D1">
              <w:rPr>
                <w:rFonts w:ascii="Arial" w:hAnsi="Arial" w:cs="Arial"/>
                <w:bCs/>
                <w:iCs/>
              </w:rPr>
              <w:t xml:space="preserve">raining compliance is monitored for new and existing trainers. </w:t>
            </w:r>
            <w:r w:rsidR="00EF2142" w:rsidRPr="009E27F0">
              <w:rPr>
                <w:rFonts w:ascii="Arial" w:hAnsi="Arial" w:cs="Arial"/>
                <w:bCs/>
                <w:iCs/>
              </w:rPr>
              <w:t xml:space="preserve">During the </w:t>
            </w:r>
            <w:r w:rsidRPr="009E27F0">
              <w:rPr>
                <w:rFonts w:ascii="Arial" w:hAnsi="Arial" w:cs="Arial"/>
                <w:bCs/>
                <w:iCs/>
              </w:rPr>
              <w:t>ARCP process</w:t>
            </w:r>
            <w:r w:rsidR="00EF2142" w:rsidRPr="009E27F0">
              <w:rPr>
                <w:rFonts w:ascii="Arial" w:hAnsi="Arial" w:cs="Arial"/>
                <w:bCs/>
                <w:iCs/>
              </w:rPr>
              <w:t>,</w:t>
            </w:r>
            <w:r w:rsidRPr="009E27F0">
              <w:rPr>
                <w:rFonts w:ascii="Arial" w:hAnsi="Arial" w:cs="Arial"/>
                <w:bCs/>
                <w:iCs/>
              </w:rPr>
              <w:t xml:space="preserve"> external SAC rep</w:t>
            </w:r>
            <w:r w:rsidR="00EF2142" w:rsidRPr="009E27F0">
              <w:rPr>
                <w:rFonts w:ascii="Arial" w:hAnsi="Arial" w:cs="Arial"/>
                <w:bCs/>
                <w:iCs/>
              </w:rPr>
              <w:t>resentatives</w:t>
            </w:r>
            <w:r w:rsidRPr="009E27F0">
              <w:rPr>
                <w:rFonts w:ascii="Arial" w:hAnsi="Arial" w:cs="Arial"/>
                <w:bCs/>
                <w:iCs/>
              </w:rPr>
              <w:t xml:space="preserve"> ensure full coverage of competencies</w:t>
            </w:r>
            <w:r w:rsidR="00EF2142" w:rsidRPr="009E27F0">
              <w:rPr>
                <w:rFonts w:ascii="Arial" w:hAnsi="Arial" w:cs="Arial"/>
                <w:bCs/>
                <w:iCs/>
              </w:rPr>
              <w:t>.</w:t>
            </w:r>
            <w:r w:rsidR="004A2FFA">
              <w:rPr>
                <w:rFonts w:ascii="Arial" w:hAnsi="Arial" w:cs="Arial"/>
                <w:bCs/>
                <w:iCs/>
              </w:rPr>
              <w:t xml:space="preserve"> </w:t>
            </w:r>
          </w:p>
          <w:p w14:paraId="43A7EBF8" w14:textId="77777777" w:rsidR="00D501DC" w:rsidRDefault="00D501DC" w:rsidP="00E47500">
            <w:pPr>
              <w:contextualSpacing/>
              <w:rPr>
                <w:rFonts w:ascii="Arial" w:hAnsi="Arial" w:cs="Arial"/>
                <w:bCs/>
                <w:iCs/>
              </w:rPr>
            </w:pPr>
          </w:p>
          <w:p w14:paraId="2058B60F" w14:textId="1358441D" w:rsidR="00DD50D1" w:rsidRDefault="001C58F9" w:rsidP="00E47500">
            <w:pPr>
              <w:contextualSpacing/>
              <w:rPr>
                <w:rFonts w:ascii="Arial" w:hAnsi="Arial" w:cs="Arial"/>
                <w:bCs/>
                <w:iCs/>
              </w:rPr>
            </w:pPr>
            <w:r>
              <w:rPr>
                <w:rFonts w:ascii="Arial" w:hAnsi="Arial" w:cs="Arial"/>
                <w:bCs/>
                <w:iCs/>
              </w:rPr>
              <w:t xml:space="preserve">As a result, we consider this Requirement to be </w:t>
            </w:r>
            <w:r w:rsidRPr="00D8280A">
              <w:rPr>
                <w:rFonts w:ascii="Arial" w:hAnsi="Arial" w:cs="Arial"/>
                <w:b/>
                <w:iCs/>
              </w:rPr>
              <w:t>met</w:t>
            </w:r>
            <w:r>
              <w:rPr>
                <w:rFonts w:ascii="Arial" w:hAnsi="Arial" w:cs="Arial"/>
                <w:bCs/>
                <w:iCs/>
              </w:rPr>
              <w:t>.</w:t>
            </w:r>
          </w:p>
          <w:p w14:paraId="5423B804" w14:textId="77777777" w:rsidR="00C10F0C" w:rsidRDefault="00C10F0C" w:rsidP="00D6729D">
            <w:pPr>
              <w:contextualSpacing/>
              <w:rPr>
                <w:rFonts w:ascii="Arial" w:hAnsi="Arial" w:cs="Arial"/>
                <w:b/>
                <w:i/>
                <w:sz w:val="20"/>
                <w:szCs w:val="20"/>
              </w:rPr>
            </w:pPr>
          </w:p>
          <w:p w14:paraId="72A5E9BC" w14:textId="04462659" w:rsidR="00E2148E" w:rsidRDefault="005D5820" w:rsidP="00D6729D">
            <w:pPr>
              <w:contextualSpacing/>
              <w:rPr>
                <w:rFonts w:ascii="Arial" w:hAnsi="Arial" w:cs="Arial"/>
                <w:b/>
                <w:iCs/>
              </w:rPr>
            </w:pPr>
            <w:r>
              <w:rPr>
                <w:rFonts w:ascii="Arial" w:eastAsia="Calibri" w:hAnsi="Arial" w:cs="Arial"/>
                <w:b/>
                <w:color w:val="000000" w:themeColor="text1"/>
              </w:rPr>
              <w:t>P</w:t>
            </w:r>
            <w:r w:rsidR="00E2148E">
              <w:rPr>
                <w:rFonts w:ascii="Arial" w:eastAsia="Calibri" w:hAnsi="Arial" w:cs="Arial"/>
                <w:b/>
                <w:color w:val="000000" w:themeColor="text1"/>
              </w:rPr>
              <w:t xml:space="preserve">15: </w:t>
            </w:r>
            <w:r w:rsidR="00C10F0C" w:rsidRPr="00C10F0C">
              <w:rPr>
                <w:rFonts w:ascii="Arial" w:hAnsi="Arial" w:cs="Arial"/>
                <w:b/>
                <w:iCs/>
              </w:rPr>
              <w:t>The programme provider must have in place management systems to plan, monitor and record the assessment of specialty trainees throughout the programme against each of the learning outcomes.</w:t>
            </w:r>
            <w:r w:rsidR="00C10F0C">
              <w:rPr>
                <w:rFonts w:ascii="Arial" w:hAnsi="Arial" w:cs="Arial"/>
                <w:b/>
                <w:iCs/>
              </w:rPr>
              <w:t xml:space="preserve"> </w:t>
            </w:r>
            <w:r w:rsidR="00EA58BF">
              <w:rPr>
                <w:rFonts w:ascii="Arial" w:hAnsi="Arial" w:cs="Arial"/>
                <w:b/>
                <w:iCs/>
              </w:rPr>
              <w:t>(</w:t>
            </w:r>
            <w:r w:rsidR="00C10F0C">
              <w:rPr>
                <w:rFonts w:ascii="Arial" w:hAnsi="Arial" w:cs="Arial"/>
                <w:b/>
                <w:iCs/>
              </w:rPr>
              <w:t>Requirement</w:t>
            </w:r>
            <w:r w:rsidR="008B466F" w:rsidRPr="001C58F9">
              <w:rPr>
                <w:rFonts w:ascii="Arial" w:eastAsia="Calibri" w:hAnsi="Arial" w:cs="Arial"/>
                <w:b/>
                <w:iCs/>
                <w:color w:val="000000" w:themeColor="text1"/>
              </w:rPr>
              <w:t xml:space="preserve"> Met</w:t>
            </w:r>
            <w:r w:rsidR="00EA58BF">
              <w:rPr>
                <w:rFonts w:ascii="Arial" w:hAnsi="Arial" w:cs="Arial"/>
                <w:b/>
                <w:iCs/>
              </w:rPr>
              <w:t>)</w:t>
            </w:r>
            <w:r w:rsidR="00C10F0C">
              <w:rPr>
                <w:rFonts w:ascii="Arial" w:hAnsi="Arial" w:cs="Arial"/>
                <w:b/>
                <w:iCs/>
              </w:rPr>
              <w:t>.</w:t>
            </w:r>
          </w:p>
          <w:p w14:paraId="5C0B00BC" w14:textId="2D280756" w:rsidR="008D35C7" w:rsidRDefault="008D35C7" w:rsidP="00D6729D">
            <w:pPr>
              <w:contextualSpacing/>
              <w:rPr>
                <w:rFonts w:ascii="Arial" w:hAnsi="Arial" w:cs="Arial"/>
                <w:b/>
                <w:iCs/>
              </w:rPr>
            </w:pPr>
          </w:p>
          <w:p w14:paraId="099ADED7" w14:textId="55F4600D" w:rsidR="00B53E4E" w:rsidRDefault="008D35C7" w:rsidP="00D6729D">
            <w:pPr>
              <w:contextualSpacing/>
              <w:rPr>
                <w:rFonts w:ascii="Arial" w:hAnsi="Arial" w:cs="Arial"/>
                <w:bCs/>
                <w:iCs/>
              </w:rPr>
            </w:pPr>
            <w:r w:rsidRPr="008D35C7">
              <w:rPr>
                <w:rFonts w:ascii="Arial" w:hAnsi="Arial" w:cs="Arial"/>
                <w:bCs/>
                <w:iCs/>
              </w:rPr>
              <w:t>The narrative and evidence provided</w:t>
            </w:r>
            <w:r w:rsidR="003A308C">
              <w:rPr>
                <w:rFonts w:ascii="Arial" w:hAnsi="Arial" w:cs="Arial"/>
                <w:bCs/>
                <w:iCs/>
              </w:rPr>
              <w:t xml:space="preserve"> supports </w:t>
            </w:r>
            <w:r w:rsidRPr="008D35C7">
              <w:rPr>
                <w:rFonts w:ascii="Arial" w:hAnsi="Arial" w:cs="Arial"/>
                <w:bCs/>
                <w:iCs/>
              </w:rPr>
              <w:t xml:space="preserve">this requirement to the extent that the </w:t>
            </w:r>
            <w:r w:rsidR="00D45F4A">
              <w:rPr>
                <w:rFonts w:ascii="Arial" w:hAnsi="Arial" w:cs="Arial"/>
                <w:bCs/>
                <w:iCs/>
              </w:rPr>
              <w:t>local office</w:t>
            </w:r>
            <w:r w:rsidRPr="008D35C7">
              <w:rPr>
                <w:rFonts w:ascii="Arial" w:hAnsi="Arial" w:cs="Arial"/>
                <w:bCs/>
                <w:iCs/>
              </w:rPr>
              <w:t xml:space="preserve"> </w:t>
            </w:r>
            <w:r w:rsidR="001C58F9" w:rsidRPr="008D35C7">
              <w:rPr>
                <w:rFonts w:ascii="Arial" w:hAnsi="Arial" w:cs="Arial"/>
                <w:bCs/>
                <w:iCs/>
              </w:rPr>
              <w:t>has in</w:t>
            </w:r>
            <w:r w:rsidRPr="008D35C7">
              <w:rPr>
                <w:rFonts w:ascii="Arial" w:hAnsi="Arial" w:cs="Arial"/>
                <w:bCs/>
                <w:iCs/>
              </w:rPr>
              <w:t xml:space="preserve"> place management systems to plan, monitor and record the assessment of specialty trainees throughout the </w:t>
            </w:r>
            <w:r w:rsidR="003A308C" w:rsidRPr="008D35C7">
              <w:rPr>
                <w:rFonts w:ascii="Arial" w:hAnsi="Arial" w:cs="Arial"/>
                <w:bCs/>
                <w:iCs/>
              </w:rPr>
              <w:t>programme.</w:t>
            </w:r>
            <w:r w:rsidRPr="008D35C7">
              <w:rPr>
                <w:rFonts w:ascii="Arial" w:hAnsi="Arial" w:cs="Arial"/>
                <w:bCs/>
                <w:iCs/>
              </w:rPr>
              <w:t xml:space="preserve"> </w:t>
            </w:r>
            <w:r w:rsidR="005054F3" w:rsidRPr="008D35C7">
              <w:rPr>
                <w:rFonts w:ascii="Arial" w:hAnsi="Arial" w:cs="Arial"/>
                <w:bCs/>
                <w:iCs/>
              </w:rPr>
              <w:t xml:space="preserve">Documents completed by SAC external panel members, in relation to the process and quality of the </w:t>
            </w:r>
            <w:r w:rsidR="003A308C" w:rsidRPr="008D35C7">
              <w:rPr>
                <w:rFonts w:ascii="Arial" w:hAnsi="Arial" w:cs="Arial"/>
                <w:bCs/>
                <w:iCs/>
              </w:rPr>
              <w:t>ARCP,</w:t>
            </w:r>
            <w:r w:rsidR="005054F3" w:rsidRPr="008D35C7">
              <w:rPr>
                <w:rFonts w:ascii="Arial" w:hAnsi="Arial" w:cs="Arial"/>
                <w:bCs/>
                <w:iCs/>
              </w:rPr>
              <w:t xml:space="preserve"> evidence a very high standard of monitoring and support from </w:t>
            </w:r>
            <w:r w:rsidR="00CE6057">
              <w:rPr>
                <w:rFonts w:ascii="Arial" w:hAnsi="Arial" w:cs="Arial"/>
                <w:bCs/>
                <w:iCs/>
              </w:rPr>
              <w:t>local offices’</w:t>
            </w:r>
            <w:r w:rsidR="005054F3" w:rsidRPr="008D35C7">
              <w:rPr>
                <w:rFonts w:ascii="Arial" w:hAnsi="Arial" w:cs="Arial"/>
                <w:bCs/>
                <w:iCs/>
              </w:rPr>
              <w:t xml:space="preserve"> (TPDs, ESs and CSs) and excellent preparation of ARCP</w:t>
            </w:r>
            <w:r w:rsidR="00B045A1">
              <w:rPr>
                <w:rFonts w:ascii="Arial" w:hAnsi="Arial" w:cs="Arial"/>
                <w:bCs/>
                <w:iCs/>
              </w:rPr>
              <w:t>s</w:t>
            </w:r>
            <w:r w:rsidR="005054F3" w:rsidRPr="008D35C7">
              <w:rPr>
                <w:rFonts w:ascii="Arial" w:hAnsi="Arial" w:cs="Arial"/>
                <w:bCs/>
                <w:iCs/>
              </w:rPr>
              <w:t>. Where there were any concerns about progress, staff had constructive solutions to provide support</w:t>
            </w:r>
            <w:r w:rsidR="003A308C">
              <w:rPr>
                <w:rFonts w:ascii="Arial" w:hAnsi="Arial" w:cs="Arial"/>
                <w:bCs/>
                <w:iCs/>
              </w:rPr>
              <w:t xml:space="preserve">. </w:t>
            </w:r>
          </w:p>
          <w:p w14:paraId="2B024E34" w14:textId="77777777" w:rsidR="00B53E4E" w:rsidRDefault="00B53E4E" w:rsidP="00D6729D">
            <w:pPr>
              <w:contextualSpacing/>
              <w:rPr>
                <w:rFonts w:ascii="Arial" w:hAnsi="Arial" w:cs="Arial"/>
                <w:bCs/>
                <w:iCs/>
              </w:rPr>
            </w:pPr>
          </w:p>
          <w:p w14:paraId="0AA07B6F" w14:textId="71D66529" w:rsidR="00AD720F" w:rsidRDefault="00B60D20" w:rsidP="00D6729D">
            <w:pPr>
              <w:contextualSpacing/>
              <w:rPr>
                <w:rFonts w:ascii="Arial" w:hAnsi="Arial" w:cs="Arial"/>
                <w:bCs/>
                <w:iCs/>
              </w:rPr>
            </w:pPr>
            <w:r>
              <w:rPr>
                <w:rFonts w:ascii="Arial" w:hAnsi="Arial" w:cs="Arial"/>
                <w:bCs/>
                <w:iCs/>
              </w:rPr>
              <w:t>T</w:t>
            </w:r>
            <w:r w:rsidR="003142EA" w:rsidRPr="003142EA">
              <w:rPr>
                <w:rFonts w:ascii="Arial" w:hAnsi="Arial" w:cs="Arial"/>
                <w:bCs/>
                <w:iCs/>
              </w:rPr>
              <w:t>he e-Portfolio is the management system for</w:t>
            </w:r>
            <w:r>
              <w:rPr>
                <w:rFonts w:ascii="Arial" w:hAnsi="Arial" w:cs="Arial"/>
                <w:bCs/>
                <w:iCs/>
              </w:rPr>
              <w:t xml:space="preserve"> </w:t>
            </w:r>
            <w:r w:rsidR="003142EA" w:rsidRPr="003142EA">
              <w:rPr>
                <w:rFonts w:ascii="Arial" w:hAnsi="Arial" w:cs="Arial"/>
                <w:bCs/>
                <w:iCs/>
              </w:rPr>
              <w:t>monitoring progress.</w:t>
            </w:r>
            <w:r w:rsidR="00D60B59" w:rsidRPr="003142EA">
              <w:rPr>
                <w:rFonts w:ascii="Arial" w:hAnsi="Arial" w:cs="Arial"/>
                <w:bCs/>
                <w:iCs/>
              </w:rPr>
              <w:t xml:space="preserve"> Induction processes ensure trainees are clear on expectations </w:t>
            </w:r>
            <w:r w:rsidR="003E7B31">
              <w:rPr>
                <w:rFonts w:ascii="Arial" w:hAnsi="Arial" w:cs="Arial"/>
                <w:bCs/>
                <w:iCs/>
              </w:rPr>
              <w:t>during</w:t>
            </w:r>
            <w:r w:rsidR="00D60B59" w:rsidRPr="003142EA">
              <w:rPr>
                <w:rFonts w:ascii="Arial" w:hAnsi="Arial" w:cs="Arial"/>
                <w:bCs/>
                <w:iCs/>
              </w:rPr>
              <w:t xml:space="preserve"> training.</w:t>
            </w:r>
            <w:r w:rsidR="003142EA" w:rsidRPr="003142EA">
              <w:rPr>
                <w:rFonts w:ascii="Arial" w:hAnsi="Arial" w:cs="Arial"/>
                <w:bCs/>
                <w:iCs/>
              </w:rPr>
              <w:t xml:space="preserve"> </w:t>
            </w:r>
            <w:r w:rsidRPr="003142EA">
              <w:rPr>
                <w:rFonts w:ascii="Arial" w:hAnsi="Arial" w:cs="Arial"/>
                <w:bCs/>
                <w:iCs/>
              </w:rPr>
              <w:t>Both trainees</w:t>
            </w:r>
            <w:r w:rsidR="003142EA" w:rsidRPr="003142EA">
              <w:rPr>
                <w:rFonts w:ascii="Arial" w:hAnsi="Arial" w:cs="Arial"/>
                <w:bCs/>
                <w:iCs/>
              </w:rPr>
              <w:t xml:space="preserve"> </w:t>
            </w:r>
            <w:r>
              <w:rPr>
                <w:rFonts w:ascii="Arial" w:hAnsi="Arial" w:cs="Arial"/>
                <w:bCs/>
                <w:iCs/>
              </w:rPr>
              <w:t>and</w:t>
            </w:r>
            <w:r w:rsidR="003142EA" w:rsidRPr="003142EA">
              <w:rPr>
                <w:rFonts w:ascii="Arial" w:hAnsi="Arial" w:cs="Arial"/>
                <w:bCs/>
                <w:iCs/>
              </w:rPr>
              <w:t xml:space="preserve"> trainers plan, monitor and record assessments against each of the learning </w:t>
            </w:r>
            <w:r w:rsidR="00F77721" w:rsidRPr="003142EA">
              <w:rPr>
                <w:rFonts w:ascii="Arial" w:hAnsi="Arial" w:cs="Arial"/>
                <w:bCs/>
                <w:iCs/>
              </w:rPr>
              <w:t>outcomes.</w:t>
            </w:r>
            <w:r w:rsidR="003142EA" w:rsidRPr="003142EA">
              <w:rPr>
                <w:rFonts w:ascii="Arial" w:hAnsi="Arial" w:cs="Arial"/>
                <w:bCs/>
                <w:iCs/>
              </w:rPr>
              <w:t xml:space="preserve"> The portfolio is regularly reviewed by the </w:t>
            </w:r>
            <w:r>
              <w:rPr>
                <w:rFonts w:ascii="Arial" w:hAnsi="Arial" w:cs="Arial"/>
                <w:bCs/>
                <w:iCs/>
              </w:rPr>
              <w:t>ES</w:t>
            </w:r>
            <w:r w:rsidR="003142EA" w:rsidRPr="003142EA">
              <w:rPr>
                <w:rFonts w:ascii="Arial" w:hAnsi="Arial" w:cs="Arial"/>
                <w:bCs/>
                <w:iCs/>
              </w:rPr>
              <w:t xml:space="preserve"> and discussed with the trainee at their regular meetings to ensure trainees are covering all LOs. </w:t>
            </w:r>
            <w:r w:rsidR="000F6E78" w:rsidRPr="003142EA">
              <w:rPr>
                <w:rFonts w:ascii="Arial" w:hAnsi="Arial" w:cs="Arial"/>
                <w:bCs/>
                <w:iCs/>
              </w:rPr>
              <w:t xml:space="preserve">All trainees have an interim review after </w:t>
            </w:r>
            <w:r w:rsidR="00BB31EF">
              <w:rPr>
                <w:rFonts w:ascii="Arial" w:hAnsi="Arial" w:cs="Arial"/>
                <w:bCs/>
                <w:iCs/>
              </w:rPr>
              <w:t>six</w:t>
            </w:r>
            <w:r w:rsidR="000F6E78" w:rsidRPr="003142EA">
              <w:rPr>
                <w:rFonts w:ascii="Arial" w:hAnsi="Arial" w:cs="Arial"/>
                <w:bCs/>
                <w:iCs/>
              </w:rPr>
              <w:t xml:space="preserve"> months in post and </w:t>
            </w:r>
            <w:r w:rsidR="003E7B31" w:rsidRPr="003142EA">
              <w:rPr>
                <w:rFonts w:ascii="Arial" w:hAnsi="Arial" w:cs="Arial"/>
                <w:bCs/>
                <w:iCs/>
              </w:rPr>
              <w:t>annua</w:t>
            </w:r>
            <w:r w:rsidR="003E7B31">
              <w:rPr>
                <w:rFonts w:ascii="Arial" w:hAnsi="Arial" w:cs="Arial"/>
                <w:bCs/>
                <w:iCs/>
              </w:rPr>
              <w:t>lly</w:t>
            </w:r>
            <w:r w:rsidR="00BA4A24">
              <w:rPr>
                <w:rFonts w:ascii="Arial" w:hAnsi="Arial" w:cs="Arial"/>
                <w:bCs/>
                <w:iCs/>
              </w:rPr>
              <w:t xml:space="preserve"> </w:t>
            </w:r>
            <w:r w:rsidR="000F6E78" w:rsidRPr="003142EA">
              <w:rPr>
                <w:rFonts w:ascii="Arial" w:hAnsi="Arial" w:cs="Arial"/>
                <w:bCs/>
                <w:iCs/>
              </w:rPr>
              <w:t>thereafter</w:t>
            </w:r>
            <w:r w:rsidR="00BA4A24">
              <w:rPr>
                <w:rFonts w:ascii="Arial" w:hAnsi="Arial" w:cs="Arial"/>
                <w:bCs/>
                <w:iCs/>
              </w:rPr>
              <w:t xml:space="preserve">, </w:t>
            </w:r>
            <w:r w:rsidR="000F6E78" w:rsidRPr="003142EA">
              <w:rPr>
                <w:rFonts w:ascii="Arial" w:hAnsi="Arial" w:cs="Arial"/>
                <w:bCs/>
                <w:iCs/>
              </w:rPr>
              <w:t>unless they have a non-standard outcome at ARCP.</w:t>
            </w:r>
          </w:p>
          <w:p w14:paraId="69E75F9F" w14:textId="77777777" w:rsidR="00AD720F" w:rsidRDefault="00AD720F" w:rsidP="00D6729D">
            <w:pPr>
              <w:contextualSpacing/>
              <w:rPr>
                <w:rFonts w:ascii="Arial" w:hAnsi="Arial" w:cs="Arial"/>
                <w:bCs/>
                <w:iCs/>
              </w:rPr>
            </w:pPr>
          </w:p>
          <w:p w14:paraId="26E3E5E8" w14:textId="04DF1073" w:rsidR="00A76B3C" w:rsidRDefault="00A76B3C" w:rsidP="00A76B3C">
            <w:pPr>
              <w:contextualSpacing/>
              <w:rPr>
                <w:rFonts w:ascii="Arial" w:hAnsi="Arial" w:cs="Arial"/>
                <w:bCs/>
                <w:iCs/>
              </w:rPr>
            </w:pPr>
            <w:r w:rsidRPr="003142EA">
              <w:rPr>
                <w:rFonts w:ascii="Arial" w:hAnsi="Arial" w:cs="Arial"/>
                <w:bCs/>
                <w:iCs/>
              </w:rPr>
              <w:t>HEE SW TVW plan the ARCP’s in advance and have a clear process</w:t>
            </w:r>
            <w:r>
              <w:rPr>
                <w:rFonts w:ascii="Arial" w:hAnsi="Arial" w:cs="Arial"/>
                <w:bCs/>
                <w:iCs/>
              </w:rPr>
              <w:t>.</w:t>
            </w:r>
          </w:p>
          <w:p w14:paraId="4CBD8110" w14:textId="7C86B12A" w:rsidR="003142EA" w:rsidRDefault="00F77721" w:rsidP="00D6729D">
            <w:pPr>
              <w:contextualSpacing/>
              <w:rPr>
                <w:rFonts w:ascii="Arial" w:hAnsi="Arial" w:cs="Arial"/>
                <w:bCs/>
                <w:iCs/>
              </w:rPr>
            </w:pPr>
            <w:r>
              <w:rPr>
                <w:rFonts w:ascii="Arial" w:hAnsi="Arial" w:cs="Arial"/>
                <w:bCs/>
                <w:iCs/>
              </w:rPr>
              <w:t xml:space="preserve">The </w:t>
            </w:r>
            <w:r w:rsidR="00EB51C2" w:rsidRPr="003142EA">
              <w:rPr>
                <w:rFonts w:ascii="Arial" w:hAnsi="Arial" w:cs="Arial"/>
                <w:bCs/>
                <w:iCs/>
              </w:rPr>
              <w:t>ARCP process</w:t>
            </w:r>
            <w:r w:rsidR="003142EA" w:rsidRPr="003142EA">
              <w:rPr>
                <w:rFonts w:ascii="Arial" w:hAnsi="Arial" w:cs="Arial"/>
                <w:bCs/>
                <w:iCs/>
              </w:rPr>
              <w:t xml:space="preserve"> ensures evidence i</w:t>
            </w:r>
            <w:r w:rsidR="00823DCE">
              <w:rPr>
                <w:rFonts w:ascii="Arial" w:hAnsi="Arial" w:cs="Arial"/>
                <w:bCs/>
                <w:iCs/>
              </w:rPr>
              <w:t>s</w:t>
            </w:r>
            <w:r w:rsidR="003142EA" w:rsidRPr="003142EA">
              <w:rPr>
                <w:rFonts w:ascii="Arial" w:hAnsi="Arial" w:cs="Arial"/>
                <w:bCs/>
                <w:iCs/>
              </w:rPr>
              <w:t xml:space="preserve"> mapped against</w:t>
            </w:r>
            <w:r w:rsidR="00823DCE">
              <w:rPr>
                <w:rFonts w:ascii="Arial" w:hAnsi="Arial" w:cs="Arial"/>
                <w:bCs/>
                <w:iCs/>
              </w:rPr>
              <w:t xml:space="preserve"> the</w:t>
            </w:r>
            <w:r w:rsidR="003142EA" w:rsidRPr="003142EA">
              <w:rPr>
                <w:rFonts w:ascii="Arial" w:hAnsi="Arial" w:cs="Arial"/>
                <w:bCs/>
                <w:iCs/>
              </w:rPr>
              <w:t xml:space="preserve"> LOs, follow</w:t>
            </w:r>
            <w:r w:rsidR="00D60B59">
              <w:rPr>
                <w:rFonts w:ascii="Arial" w:hAnsi="Arial" w:cs="Arial"/>
                <w:bCs/>
                <w:iCs/>
              </w:rPr>
              <w:t>s processes set out in the D</w:t>
            </w:r>
            <w:r w:rsidR="000B73EA">
              <w:rPr>
                <w:rFonts w:ascii="Arial" w:hAnsi="Arial" w:cs="Arial"/>
                <w:bCs/>
                <w:iCs/>
              </w:rPr>
              <w:t>GG</w:t>
            </w:r>
            <w:r w:rsidR="00D60B59">
              <w:rPr>
                <w:rFonts w:ascii="Arial" w:hAnsi="Arial" w:cs="Arial"/>
                <w:bCs/>
                <w:iCs/>
              </w:rPr>
              <w:t xml:space="preserve"> </w:t>
            </w:r>
            <w:r w:rsidR="003142EA" w:rsidRPr="003142EA">
              <w:rPr>
                <w:rFonts w:ascii="Arial" w:hAnsi="Arial" w:cs="Arial"/>
                <w:bCs/>
                <w:iCs/>
              </w:rPr>
              <w:t>and</w:t>
            </w:r>
            <w:r w:rsidR="00D60B59">
              <w:rPr>
                <w:rFonts w:ascii="Arial" w:hAnsi="Arial" w:cs="Arial"/>
                <w:bCs/>
                <w:iCs/>
              </w:rPr>
              <w:t xml:space="preserve"> is</w:t>
            </w:r>
            <w:r w:rsidR="003142EA" w:rsidRPr="003142EA">
              <w:rPr>
                <w:rFonts w:ascii="Arial" w:hAnsi="Arial" w:cs="Arial"/>
                <w:bCs/>
                <w:iCs/>
              </w:rPr>
              <w:t xml:space="preserve"> overseen by external SAC representation, and a lay representative who both provides reports. </w:t>
            </w:r>
          </w:p>
          <w:p w14:paraId="58AC8BF3" w14:textId="6E81D579" w:rsidR="003142EA" w:rsidRDefault="003142EA" w:rsidP="00D6729D">
            <w:pPr>
              <w:contextualSpacing/>
              <w:rPr>
                <w:rFonts w:ascii="Arial" w:hAnsi="Arial" w:cs="Arial"/>
                <w:bCs/>
                <w:iCs/>
              </w:rPr>
            </w:pPr>
          </w:p>
          <w:p w14:paraId="5C8C09DD" w14:textId="65D0CDE6" w:rsidR="00A76B3C" w:rsidRDefault="00A76B3C" w:rsidP="00D6729D">
            <w:pPr>
              <w:contextualSpacing/>
              <w:rPr>
                <w:rFonts w:ascii="Arial" w:hAnsi="Arial" w:cs="Arial"/>
                <w:bCs/>
                <w:iCs/>
              </w:rPr>
            </w:pPr>
            <w:r>
              <w:rPr>
                <w:rFonts w:ascii="Arial" w:hAnsi="Arial" w:cs="Arial"/>
                <w:bCs/>
                <w:iCs/>
              </w:rPr>
              <w:t xml:space="preserve">Further evidence to support this </w:t>
            </w:r>
            <w:r w:rsidR="00065F52">
              <w:rPr>
                <w:rFonts w:ascii="Arial" w:hAnsi="Arial" w:cs="Arial"/>
                <w:bCs/>
                <w:iCs/>
              </w:rPr>
              <w:t>R</w:t>
            </w:r>
            <w:r>
              <w:rPr>
                <w:rFonts w:ascii="Arial" w:hAnsi="Arial" w:cs="Arial"/>
                <w:bCs/>
                <w:iCs/>
              </w:rPr>
              <w:t>equirement can be found under P4,12,13 and 14.</w:t>
            </w:r>
          </w:p>
          <w:p w14:paraId="5E640C31" w14:textId="3F349475" w:rsidR="000F6E78" w:rsidRDefault="000F6E78" w:rsidP="00D6729D">
            <w:pPr>
              <w:contextualSpacing/>
              <w:rPr>
                <w:rFonts w:ascii="Arial" w:hAnsi="Arial" w:cs="Arial"/>
                <w:bCs/>
                <w:iCs/>
              </w:rPr>
            </w:pPr>
          </w:p>
          <w:p w14:paraId="5F30327B" w14:textId="329499DA" w:rsidR="000F6E78" w:rsidRPr="008D35C7" w:rsidRDefault="000F6E78" w:rsidP="00D6729D">
            <w:pPr>
              <w:contextualSpacing/>
              <w:rPr>
                <w:rFonts w:ascii="Arial" w:hAnsi="Arial" w:cs="Arial"/>
                <w:bCs/>
                <w:iCs/>
              </w:rPr>
            </w:pPr>
            <w:r>
              <w:rPr>
                <w:rFonts w:ascii="Arial" w:hAnsi="Arial" w:cs="Arial"/>
                <w:bCs/>
                <w:iCs/>
              </w:rPr>
              <w:t xml:space="preserve">We consider this Requirement to be </w:t>
            </w:r>
            <w:r w:rsidRPr="00D8280A">
              <w:rPr>
                <w:rFonts w:ascii="Arial" w:hAnsi="Arial" w:cs="Arial"/>
                <w:b/>
                <w:iCs/>
              </w:rPr>
              <w:t>met</w:t>
            </w:r>
            <w:r>
              <w:rPr>
                <w:rFonts w:ascii="Arial" w:hAnsi="Arial" w:cs="Arial"/>
                <w:bCs/>
                <w:iCs/>
              </w:rPr>
              <w:t>.</w:t>
            </w:r>
          </w:p>
          <w:p w14:paraId="27A8624C" w14:textId="77777777" w:rsidR="00E2148E" w:rsidRDefault="00E2148E" w:rsidP="00D6729D">
            <w:pPr>
              <w:contextualSpacing/>
              <w:rPr>
                <w:rFonts w:ascii="Arial" w:eastAsia="Calibri" w:hAnsi="Arial" w:cs="Arial"/>
                <w:b/>
                <w:i/>
                <w:color w:val="000000" w:themeColor="text1"/>
              </w:rPr>
            </w:pPr>
          </w:p>
          <w:p w14:paraId="01CFB330" w14:textId="0ED9A992" w:rsidR="00C10F0C" w:rsidRDefault="005D5820" w:rsidP="00D6729D">
            <w:pPr>
              <w:contextualSpacing/>
              <w:rPr>
                <w:rFonts w:ascii="Arial" w:hAnsi="Arial" w:cs="Arial"/>
                <w:b/>
                <w:iCs/>
              </w:rPr>
            </w:pPr>
            <w:r>
              <w:rPr>
                <w:rFonts w:ascii="Arial" w:eastAsia="Calibri" w:hAnsi="Arial" w:cs="Arial"/>
                <w:b/>
                <w:color w:val="000000" w:themeColor="text1"/>
              </w:rPr>
              <w:t>P</w:t>
            </w:r>
            <w:r w:rsidR="00E2148E">
              <w:rPr>
                <w:rFonts w:ascii="Arial" w:eastAsia="Calibri" w:hAnsi="Arial" w:cs="Arial"/>
                <w:b/>
                <w:color w:val="000000" w:themeColor="text1"/>
              </w:rPr>
              <w:t xml:space="preserve">16: </w:t>
            </w:r>
            <w:r w:rsidR="00C10F0C" w:rsidRPr="00C10F0C">
              <w:rPr>
                <w:rFonts w:ascii="Arial" w:hAnsi="Arial" w:cs="Arial"/>
                <w:b/>
                <w:iCs/>
              </w:rPr>
              <w:t>Specialty trainees must have exposure to an appropriate breadth of patients/procedures and should undertake each activity relating to patient care on sufficient occasions to enable them to develop the skills and the level of competence to achieve the relevant GDC-approved learning outcomes.</w:t>
            </w:r>
            <w:r w:rsidR="00C10F0C">
              <w:rPr>
                <w:rFonts w:ascii="Arial" w:hAnsi="Arial" w:cs="Arial"/>
                <w:b/>
                <w:iCs/>
              </w:rPr>
              <w:t xml:space="preserve"> </w:t>
            </w:r>
            <w:r w:rsidR="00EA58BF">
              <w:rPr>
                <w:rFonts w:ascii="Arial" w:hAnsi="Arial" w:cs="Arial"/>
                <w:b/>
                <w:iCs/>
              </w:rPr>
              <w:t>(</w:t>
            </w:r>
            <w:r w:rsidR="00C10F0C">
              <w:rPr>
                <w:rFonts w:ascii="Arial" w:hAnsi="Arial" w:cs="Arial"/>
                <w:b/>
                <w:iCs/>
              </w:rPr>
              <w:t xml:space="preserve">Requirement </w:t>
            </w:r>
            <w:r w:rsidR="008B466F" w:rsidRPr="00D60B59">
              <w:rPr>
                <w:rFonts w:ascii="Arial" w:eastAsia="Calibri" w:hAnsi="Arial" w:cs="Arial"/>
                <w:b/>
                <w:iCs/>
                <w:color w:val="000000" w:themeColor="text1"/>
              </w:rPr>
              <w:t>Met</w:t>
            </w:r>
            <w:r w:rsidR="00EA58BF">
              <w:rPr>
                <w:rFonts w:ascii="Arial" w:hAnsi="Arial" w:cs="Arial"/>
                <w:b/>
                <w:iCs/>
              </w:rPr>
              <w:t>)</w:t>
            </w:r>
            <w:r w:rsidR="00C10F0C">
              <w:rPr>
                <w:rFonts w:ascii="Arial" w:hAnsi="Arial" w:cs="Arial"/>
                <w:b/>
                <w:iCs/>
              </w:rPr>
              <w:t>.</w:t>
            </w:r>
          </w:p>
          <w:p w14:paraId="07CBD0B8" w14:textId="3112D3EC" w:rsidR="003142EA" w:rsidRDefault="003142EA" w:rsidP="00D6729D">
            <w:pPr>
              <w:contextualSpacing/>
              <w:rPr>
                <w:rFonts w:ascii="Arial" w:hAnsi="Arial" w:cs="Arial"/>
                <w:bCs/>
                <w:iCs/>
                <w:sz w:val="20"/>
                <w:szCs w:val="20"/>
              </w:rPr>
            </w:pPr>
          </w:p>
          <w:p w14:paraId="7B2A96F9" w14:textId="0AD0FED7" w:rsidR="00953473" w:rsidRDefault="00D60B59" w:rsidP="00D6729D">
            <w:pPr>
              <w:contextualSpacing/>
              <w:rPr>
                <w:rFonts w:ascii="Arial" w:hAnsi="Arial" w:cs="Arial"/>
                <w:bCs/>
                <w:iCs/>
              </w:rPr>
            </w:pPr>
            <w:r w:rsidRPr="005B753E">
              <w:rPr>
                <w:rFonts w:ascii="Arial" w:hAnsi="Arial" w:cs="Arial"/>
                <w:bCs/>
                <w:iCs/>
              </w:rPr>
              <w:t>As with the previous Requirement</w:t>
            </w:r>
            <w:r w:rsidR="00EC56F4">
              <w:rPr>
                <w:rFonts w:ascii="Arial" w:hAnsi="Arial" w:cs="Arial"/>
                <w:bCs/>
                <w:iCs/>
              </w:rPr>
              <w:t>,</w:t>
            </w:r>
            <w:r w:rsidRPr="005B753E">
              <w:rPr>
                <w:rFonts w:ascii="Arial" w:hAnsi="Arial" w:cs="Arial"/>
                <w:bCs/>
                <w:iCs/>
              </w:rPr>
              <w:t xml:space="preserve"> the</w:t>
            </w:r>
            <w:r w:rsidR="00182758" w:rsidRPr="005B753E">
              <w:rPr>
                <w:rFonts w:ascii="Arial" w:hAnsi="Arial" w:cs="Arial"/>
                <w:bCs/>
                <w:iCs/>
              </w:rPr>
              <w:t xml:space="preserve"> narrative in the self-assessment </w:t>
            </w:r>
            <w:r w:rsidR="005B753E" w:rsidRPr="005B753E">
              <w:rPr>
                <w:rFonts w:ascii="Arial" w:hAnsi="Arial" w:cs="Arial"/>
                <w:bCs/>
                <w:iCs/>
              </w:rPr>
              <w:t xml:space="preserve">suggests that </w:t>
            </w:r>
            <w:r w:rsidR="00F77721" w:rsidRPr="005B753E">
              <w:rPr>
                <w:rFonts w:ascii="Arial" w:hAnsi="Arial" w:cs="Arial"/>
                <w:bCs/>
                <w:iCs/>
              </w:rPr>
              <w:t xml:space="preserve">the </w:t>
            </w:r>
            <w:r w:rsidR="003E7B31">
              <w:rPr>
                <w:rFonts w:ascii="Arial" w:hAnsi="Arial" w:cs="Arial"/>
                <w:bCs/>
                <w:iCs/>
              </w:rPr>
              <w:t>e</w:t>
            </w:r>
            <w:r w:rsidR="003142EA" w:rsidRPr="005B753E">
              <w:rPr>
                <w:rFonts w:ascii="Arial" w:hAnsi="Arial" w:cs="Arial"/>
                <w:bCs/>
                <w:iCs/>
              </w:rPr>
              <w:t xml:space="preserve">-portfolio is the mechanism by which all trainee activity is recorded and monitored. Individual specialties define both </w:t>
            </w:r>
            <w:r w:rsidRPr="005B753E">
              <w:rPr>
                <w:rFonts w:ascii="Arial" w:hAnsi="Arial" w:cs="Arial"/>
                <w:bCs/>
                <w:iCs/>
              </w:rPr>
              <w:t xml:space="preserve">the </w:t>
            </w:r>
            <w:r w:rsidR="003142EA" w:rsidRPr="005B753E">
              <w:rPr>
                <w:rFonts w:ascii="Arial" w:hAnsi="Arial" w:cs="Arial"/>
                <w:bCs/>
                <w:iCs/>
              </w:rPr>
              <w:t>number and type of W</w:t>
            </w:r>
            <w:r w:rsidR="000B73EA">
              <w:rPr>
                <w:rFonts w:ascii="Arial" w:hAnsi="Arial" w:cs="Arial"/>
                <w:bCs/>
                <w:iCs/>
              </w:rPr>
              <w:t>P</w:t>
            </w:r>
            <w:r w:rsidR="003142EA" w:rsidRPr="005B753E">
              <w:rPr>
                <w:rFonts w:ascii="Arial" w:hAnsi="Arial" w:cs="Arial"/>
                <w:bCs/>
                <w:iCs/>
              </w:rPr>
              <w:t xml:space="preserve">BA required. </w:t>
            </w:r>
          </w:p>
          <w:p w14:paraId="1DC8A260" w14:textId="20CC7516" w:rsidR="00EC56F4" w:rsidRDefault="00D60B59" w:rsidP="00F2696E">
            <w:pPr>
              <w:pStyle w:val="NormalWeb"/>
              <w:rPr>
                <w:rFonts w:ascii="Arial" w:hAnsi="Arial" w:cs="Arial"/>
                <w:bCs/>
                <w:iCs/>
                <w:sz w:val="22"/>
                <w:szCs w:val="22"/>
              </w:rPr>
            </w:pPr>
            <w:r w:rsidRPr="00EC56F4">
              <w:rPr>
                <w:rFonts w:ascii="Arial" w:hAnsi="Arial" w:cs="Arial"/>
                <w:bCs/>
                <w:iCs/>
                <w:sz w:val="22"/>
                <w:szCs w:val="22"/>
              </w:rPr>
              <w:t>In relation to the D</w:t>
            </w:r>
            <w:r w:rsidR="000B73EA">
              <w:rPr>
                <w:rFonts w:ascii="Arial" w:hAnsi="Arial" w:cs="Arial"/>
                <w:bCs/>
                <w:iCs/>
                <w:sz w:val="22"/>
                <w:szCs w:val="22"/>
              </w:rPr>
              <w:t>GG</w:t>
            </w:r>
            <w:r w:rsidR="00A4291D" w:rsidRPr="00EC56F4">
              <w:rPr>
                <w:rFonts w:ascii="Arial" w:hAnsi="Arial" w:cs="Arial"/>
                <w:bCs/>
                <w:iCs/>
                <w:sz w:val="22"/>
                <w:szCs w:val="22"/>
              </w:rPr>
              <w:t>,</w:t>
            </w:r>
            <w:r w:rsidR="003142EA" w:rsidRPr="00EC56F4">
              <w:rPr>
                <w:rFonts w:ascii="Arial" w:hAnsi="Arial" w:cs="Arial"/>
                <w:bCs/>
                <w:iCs/>
                <w:sz w:val="22"/>
                <w:szCs w:val="22"/>
              </w:rPr>
              <w:t xml:space="preserve"> progress against the curriculum is monitored formally by an Interim RCP after 6 months of training and annually </w:t>
            </w:r>
            <w:r w:rsidR="00B71861" w:rsidRPr="00EC56F4">
              <w:rPr>
                <w:rFonts w:ascii="Arial" w:hAnsi="Arial" w:cs="Arial"/>
                <w:bCs/>
                <w:iCs/>
                <w:sz w:val="22"/>
                <w:szCs w:val="22"/>
              </w:rPr>
              <w:t xml:space="preserve">thereafter, </w:t>
            </w:r>
            <w:r w:rsidR="003142EA" w:rsidRPr="00EC56F4">
              <w:rPr>
                <w:rFonts w:ascii="Arial" w:hAnsi="Arial" w:cs="Arial"/>
                <w:bCs/>
                <w:iCs/>
                <w:sz w:val="22"/>
                <w:szCs w:val="22"/>
              </w:rPr>
              <w:t>unless a trainee receives an unfavourable outcome.</w:t>
            </w:r>
            <w:r w:rsidR="003E7B31" w:rsidRPr="00EC56F4">
              <w:rPr>
                <w:rFonts w:ascii="Arial" w:hAnsi="Arial" w:cs="Arial"/>
                <w:bCs/>
                <w:iCs/>
                <w:sz w:val="22"/>
                <w:szCs w:val="22"/>
              </w:rPr>
              <w:t xml:space="preserve"> For example, The </w:t>
            </w:r>
            <w:r w:rsidR="003E7B31" w:rsidRPr="00EC56F4">
              <w:rPr>
                <w:rFonts w:ascii="Arial" w:hAnsi="Arial" w:cs="Arial"/>
                <w:color w:val="3F3F3F"/>
                <w:sz w:val="22"/>
                <w:szCs w:val="22"/>
              </w:rPr>
              <w:t xml:space="preserve">Dental and Maxillofacial Radiology </w:t>
            </w:r>
            <w:r w:rsidR="003E7B31" w:rsidRPr="00EC56F4">
              <w:rPr>
                <w:rFonts w:ascii="Arial" w:hAnsi="Arial" w:cs="Arial"/>
                <w:bCs/>
                <w:iCs/>
                <w:sz w:val="22"/>
                <w:szCs w:val="22"/>
              </w:rPr>
              <w:t xml:space="preserve">(DMFR) portfolio checklist for </w:t>
            </w:r>
            <w:r w:rsidR="005F5AFC" w:rsidRPr="00EC56F4">
              <w:rPr>
                <w:rFonts w:ascii="Arial" w:hAnsi="Arial" w:cs="Arial"/>
                <w:bCs/>
                <w:iCs/>
                <w:sz w:val="22"/>
                <w:szCs w:val="22"/>
              </w:rPr>
              <w:t>S</w:t>
            </w:r>
            <w:r w:rsidR="003E7B31" w:rsidRPr="00EC56F4">
              <w:rPr>
                <w:rFonts w:ascii="Arial" w:hAnsi="Arial" w:cs="Arial"/>
                <w:bCs/>
                <w:iCs/>
                <w:sz w:val="22"/>
                <w:szCs w:val="22"/>
              </w:rPr>
              <w:t xml:space="preserve">pecialty </w:t>
            </w:r>
            <w:r w:rsidR="005F5AFC" w:rsidRPr="00EC56F4">
              <w:rPr>
                <w:rFonts w:ascii="Arial" w:hAnsi="Arial" w:cs="Arial"/>
                <w:bCs/>
                <w:iCs/>
                <w:sz w:val="22"/>
                <w:szCs w:val="22"/>
              </w:rPr>
              <w:t>T</w:t>
            </w:r>
            <w:r w:rsidR="003E7B31" w:rsidRPr="00EC56F4">
              <w:rPr>
                <w:rFonts w:ascii="Arial" w:hAnsi="Arial" w:cs="Arial"/>
                <w:bCs/>
                <w:iCs/>
                <w:sz w:val="22"/>
                <w:szCs w:val="22"/>
              </w:rPr>
              <w:t>rainees outlines what trainees are required to provide as evidence in their portfolios for (AR</w:t>
            </w:r>
            <w:r w:rsidR="005F5AFC" w:rsidRPr="00EC56F4">
              <w:rPr>
                <w:rFonts w:ascii="Arial" w:hAnsi="Arial" w:cs="Arial"/>
                <w:bCs/>
                <w:iCs/>
                <w:sz w:val="22"/>
                <w:szCs w:val="22"/>
              </w:rPr>
              <w:t>CPs</w:t>
            </w:r>
            <w:r w:rsidR="003E7B31" w:rsidRPr="00EC56F4">
              <w:rPr>
                <w:rFonts w:ascii="Arial" w:hAnsi="Arial" w:cs="Arial"/>
                <w:bCs/>
                <w:iCs/>
                <w:sz w:val="22"/>
                <w:szCs w:val="22"/>
              </w:rPr>
              <w:t xml:space="preserve">). Evidence provided to us demonstrates that this is being followed.  </w:t>
            </w:r>
          </w:p>
          <w:p w14:paraId="289394CC" w14:textId="5EB4827D" w:rsidR="008B466F" w:rsidRPr="00EC56F4" w:rsidRDefault="003142EA" w:rsidP="00F2696E">
            <w:pPr>
              <w:pStyle w:val="NormalWeb"/>
              <w:rPr>
                <w:rFonts w:ascii="Arial" w:hAnsi="Arial" w:cs="Arial"/>
                <w:bCs/>
                <w:iCs/>
                <w:sz w:val="22"/>
                <w:szCs w:val="22"/>
              </w:rPr>
            </w:pPr>
            <w:r w:rsidRPr="00EC56F4">
              <w:rPr>
                <w:rFonts w:ascii="Arial" w:hAnsi="Arial" w:cs="Arial"/>
                <w:bCs/>
                <w:iCs/>
                <w:sz w:val="22"/>
                <w:szCs w:val="22"/>
              </w:rPr>
              <w:lastRenderedPageBreak/>
              <w:t xml:space="preserve">Unfavourable outcomes will be awarded where trainees are behind expected progress for the stage of training. </w:t>
            </w:r>
            <w:r w:rsidR="00FD4B22" w:rsidRPr="00EC56F4">
              <w:rPr>
                <w:rFonts w:ascii="Arial" w:hAnsi="Arial" w:cs="Arial"/>
                <w:bCs/>
                <w:iCs/>
                <w:sz w:val="22"/>
                <w:szCs w:val="22"/>
              </w:rPr>
              <w:t>The ARCP</w:t>
            </w:r>
            <w:r w:rsidR="007C69B2" w:rsidRPr="00EC56F4">
              <w:rPr>
                <w:rFonts w:ascii="Arial" w:hAnsi="Arial" w:cs="Arial"/>
                <w:bCs/>
                <w:iCs/>
                <w:sz w:val="22"/>
                <w:szCs w:val="22"/>
              </w:rPr>
              <w:t xml:space="preserve"> panel provides assurance that if </w:t>
            </w:r>
            <w:r w:rsidR="00B71861" w:rsidRPr="00EC56F4">
              <w:rPr>
                <w:rFonts w:ascii="Arial" w:hAnsi="Arial" w:cs="Arial"/>
                <w:bCs/>
                <w:iCs/>
                <w:sz w:val="22"/>
                <w:szCs w:val="22"/>
              </w:rPr>
              <w:t>trainees</w:t>
            </w:r>
            <w:r w:rsidR="00E21E63" w:rsidRPr="00EC56F4">
              <w:rPr>
                <w:rFonts w:ascii="Arial" w:hAnsi="Arial" w:cs="Arial"/>
                <w:bCs/>
                <w:iCs/>
                <w:sz w:val="22"/>
                <w:szCs w:val="22"/>
              </w:rPr>
              <w:t xml:space="preserve"> cannot evidence all learning outcomes and competencies</w:t>
            </w:r>
            <w:r w:rsidR="00B71861" w:rsidRPr="00EC56F4">
              <w:rPr>
                <w:rFonts w:ascii="Arial" w:hAnsi="Arial" w:cs="Arial"/>
                <w:bCs/>
                <w:iCs/>
                <w:sz w:val="22"/>
                <w:szCs w:val="22"/>
              </w:rPr>
              <w:t>,</w:t>
            </w:r>
            <w:r w:rsidR="00E21E63" w:rsidRPr="00EC56F4">
              <w:rPr>
                <w:rFonts w:ascii="Arial" w:hAnsi="Arial" w:cs="Arial"/>
                <w:bCs/>
                <w:iCs/>
                <w:sz w:val="22"/>
                <w:szCs w:val="22"/>
              </w:rPr>
              <w:t xml:space="preserve"> the appropriate </w:t>
            </w:r>
            <w:r w:rsidR="00AF5334" w:rsidRPr="00EC56F4">
              <w:rPr>
                <w:rFonts w:ascii="Arial" w:hAnsi="Arial" w:cs="Arial"/>
                <w:bCs/>
                <w:iCs/>
                <w:sz w:val="22"/>
                <w:szCs w:val="22"/>
              </w:rPr>
              <w:t>outcome would be given</w:t>
            </w:r>
            <w:r w:rsidR="00556FAB" w:rsidRPr="00EC56F4">
              <w:rPr>
                <w:rFonts w:ascii="Arial" w:hAnsi="Arial" w:cs="Arial"/>
                <w:bCs/>
                <w:iCs/>
                <w:sz w:val="22"/>
                <w:szCs w:val="22"/>
              </w:rPr>
              <w:t>.</w:t>
            </w:r>
          </w:p>
          <w:p w14:paraId="4A6CF16B" w14:textId="3B3C69A0" w:rsidR="00556FAB" w:rsidRDefault="00556FAB" w:rsidP="00D6729D">
            <w:pPr>
              <w:contextualSpacing/>
              <w:rPr>
                <w:rFonts w:ascii="Arial" w:hAnsi="Arial" w:cs="Arial"/>
                <w:bCs/>
                <w:iCs/>
              </w:rPr>
            </w:pPr>
            <w:r>
              <w:rPr>
                <w:rFonts w:ascii="Arial" w:hAnsi="Arial" w:cs="Arial"/>
                <w:bCs/>
                <w:iCs/>
              </w:rPr>
              <w:t xml:space="preserve">Further evidence </w:t>
            </w:r>
            <w:r w:rsidR="000D337E">
              <w:rPr>
                <w:rFonts w:ascii="Arial" w:hAnsi="Arial" w:cs="Arial"/>
                <w:bCs/>
                <w:iCs/>
              </w:rPr>
              <w:t>to support this Requirement can be found under P12,13,14 and 15.</w:t>
            </w:r>
          </w:p>
          <w:p w14:paraId="17ACEB68" w14:textId="77777777" w:rsidR="000D337E" w:rsidRPr="005B753E" w:rsidRDefault="000D337E" w:rsidP="00D6729D">
            <w:pPr>
              <w:contextualSpacing/>
              <w:rPr>
                <w:rFonts w:ascii="Arial" w:eastAsia="Calibri" w:hAnsi="Arial" w:cs="Arial"/>
                <w:b/>
                <w:color w:val="000000" w:themeColor="text1"/>
              </w:rPr>
            </w:pPr>
          </w:p>
          <w:p w14:paraId="09A69663" w14:textId="3AD028E8" w:rsidR="00D60B59" w:rsidRPr="005B753E" w:rsidRDefault="00D60B59" w:rsidP="00D6729D">
            <w:pPr>
              <w:contextualSpacing/>
              <w:rPr>
                <w:rFonts w:ascii="Arial" w:eastAsia="Calibri" w:hAnsi="Arial" w:cs="Arial"/>
                <w:bCs/>
                <w:color w:val="000000" w:themeColor="text1"/>
              </w:rPr>
            </w:pPr>
            <w:r w:rsidRPr="005B753E">
              <w:rPr>
                <w:rFonts w:ascii="Arial" w:eastAsia="Calibri" w:hAnsi="Arial" w:cs="Arial"/>
                <w:bCs/>
                <w:color w:val="000000" w:themeColor="text1"/>
              </w:rPr>
              <w:t xml:space="preserve">We consider this Requirement to be </w:t>
            </w:r>
            <w:r w:rsidRPr="00D8280A">
              <w:rPr>
                <w:rFonts w:ascii="Arial" w:eastAsia="Calibri" w:hAnsi="Arial" w:cs="Arial"/>
                <w:b/>
                <w:color w:val="000000" w:themeColor="text1"/>
              </w:rPr>
              <w:t>met</w:t>
            </w:r>
            <w:r w:rsidRPr="005B753E">
              <w:rPr>
                <w:rFonts w:ascii="Arial" w:eastAsia="Calibri" w:hAnsi="Arial" w:cs="Arial"/>
                <w:bCs/>
                <w:color w:val="000000" w:themeColor="text1"/>
              </w:rPr>
              <w:t>.</w:t>
            </w:r>
          </w:p>
          <w:p w14:paraId="2441F9E3" w14:textId="77777777" w:rsidR="008B466F" w:rsidRDefault="008B466F" w:rsidP="00D6729D">
            <w:pPr>
              <w:contextualSpacing/>
              <w:rPr>
                <w:rFonts w:ascii="Arial" w:eastAsia="Calibri" w:hAnsi="Arial" w:cs="Arial"/>
                <w:b/>
                <w:color w:val="000000" w:themeColor="text1"/>
              </w:rPr>
            </w:pPr>
          </w:p>
          <w:p w14:paraId="0C3A25B7" w14:textId="176DF018" w:rsidR="00C10F0C" w:rsidRDefault="005D5820" w:rsidP="00D6729D">
            <w:pPr>
              <w:contextualSpacing/>
              <w:rPr>
                <w:rFonts w:ascii="Arial" w:hAnsi="Arial" w:cs="Arial"/>
                <w:b/>
                <w:iCs/>
              </w:rPr>
            </w:pPr>
            <w:r>
              <w:rPr>
                <w:rFonts w:ascii="Arial" w:eastAsia="Calibri" w:hAnsi="Arial" w:cs="Arial"/>
                <w:b/>
                <w:color w:val="000000" w:themeColor="text1"/>
              </w:rPr>
              <w:t>P</w:t>
            </w:r>
            <w:r w:rsidR="00E2148E">
              <w:rPr>
                <w:rFonts w:ascii="Arial" w:eastAsia="Calibri" w:hAnsi="Arial" w:cs="Arial"/>
                <w:b/>
                <w:color w:val="000000" w:themeColor="text1"/>
              </w:rPr>
              <w:t xml:space="preserve">17: </w:t>
            </w:r>
            <w:r w:rsidR="00C10F0C" w:rsidRPr="00C10F0C">
              <w:rPr>
                <w:rFonts w:ascii="Arial" w:hAnsi="Arial" w:cs="Arial"/>
                <w:b/>
                <w:iCs/>
              </w:rPr>
              <w:t>The programme provider should support specialty trainees to improve their performance by providing regular feedback and by encouraging trainees to reflect on their clinical and professional practice.</w:t>
            </w:r>
            <w:r w:rsidR="00C10F0C">
              <w:rPr>
                <w:rFonts w:ascii="Arial" w:hAnsi="Arial" w:cs="Arial"/>
                <w:b/>
                <w:iCs/>
              </w:rPr>
              <w:t xml:space="preserve"> </w:t>
            </w:r>
            <w:r w:rsidR="00EA58BF">
              <w:rPr>
                <w:rFonts w:ascii="Arial" w:hAnsi="Arial" w:cs="Arial"/>
                <w:b/>
                <w:iCs/>
              </w:rPr>
              <w:t>(</w:t>
            </w:r>
            <w:r w:rsidR="00C10F0C">
              <w:rPr>
                <w:rFonts w:ascii="Arial" w:hAnsi="Arial" w:cs="Arial"/>
                <w:b/>
                <w:iCs/>
              </w:rPr>
              <w:t xml:space="preserve">Requirement </w:t>
            </w:r>
            <w:r w:rsidR="008B466F" w:rsidRPr="00E30C8F">
              <w:rPr>
                <w:rFonts w:ascii="Arial" w:eastAsia="Calibri" w:hAnsi="Arial" w:cs="Arial"/>
                <w:b/>
                <w:iCs/>
                <w:color w:val="000000" w:themeColor="text1"/>
              </w:rPr>
              <w:t>Met</w:t>
            </w:r>
            <w:r w:rsidR="00EA58BF">
              <w:rPr>
                <w:rFonts w:ascii="Arial" w:hAnsi="Arial" w:cs="Arial"/>
                <w:b/>
                <w:iCs/>
              </w:rPr>
              <w:t>)</w:t>
            </w:r>
            <w:r w:rsidR="00C10F0C">
              <w:rPr>
                <w:rFonts w:ascii="Arial" w:hAnsi="Arial" w:cs="Arial"/>
                <w:b/>
                <w:iCs/>
              </w:rPr>
              <w:t>.</w:t>
            </w:r>
          </w:p>
          <w:p w14:paraId="75574B3D" w14:textId="77777777" w:rsidR="00B3173C" w:rsidRDefault="00B3173C" w:rsidP="00D6729D">
            <w:pPr>
              <w:contextualSpacing/>
              <w:rPr>
                <w:rFonts w:ascii="Arial" w:hAnsi="Arial" w:cs="Arial"/>
                <w:bCs/>
                <w:iCs/>
              </w:rPr>
            </w:pPr>
          </w:p>
          <w:p w14:paraId="5DE4B76E" w14:textId="7CB4E5B8" w:rsidR="000224C9" w:rsidRDefault="00B3173C" w:rsidP="00D6729D">
            <w:pPr>
              <w:contextualSpacing/>
              <w:rPr>
                <w:rFonts w:ascii="Arial" w:hAnsi="Arial" w:cs="Arial"/>
                <w:bCs/>
                <w:iCs/>
              </w:rPr>
            </w:pPr>
            <w:r>
              <w:rPr>
                <w:rFonts w:ascii="Arial" w:hAnsi="Arial" w:cs="Arial"/>
                <w:bCs/>
                <w:iCs/>
              </w:rPr>
              <w:t xml:space="preserve">The </w:t>
            </w:r>
            <w:r w:rsidR="00401108" w:rsidRPr="00401108">
              <w:rPr>
                <w:rFonts w:ascii="Arial" w:hAnsi="Arial" w:cs="Arial"/>
                <w:bCs/>
                <w:iCs/>
              </w:rPr>
              <w:t>appointment letters for HEE SW</w:t>
            </w:r>
            <w:r w:rsidR="00FA4109">
              <w:rPr>
                <w:rFonts w:ascii="Arial" w:hAnsi="Arial" w:cs="Arial"/>
                <w:bCs/>
                <w:iCs/>
              </w:rPr>
              <w:t xml:space="preserve"> TVW</w:t>
            </w:r>
            <w:r w:rsidR="00401108" w:rsidRPr="00401108">
              <w:rPr>
                <w:rFonts w:ascii="Arial" w:hAnsi="Arial" w:cs="Arial"/>
                <w:bCs/>
                <w:iCs/>
              </w:rPr>
              <w:t xml:space="preserve"> confirm the responsibilities set out in the D</w:t>
            </w:r>
            <w:r w:rsidR="000B73EA">
              <w:rPr>
                <w:rFonts w:ascii="Arial" w:hAnsi="Arial" w:cs="Arial"/>
                <w:bCs/>
                <w:iCs/>
              </w:rPr>
              <w:t>GG</w:t>
            </w:r>
            <w:r>
              <w:rPr>
                <w:rFonts w:ascii="Arial" w:hAnsi="Arial" w:cs="Arial"/>
                <w:bCs/>
                <w:iCs/>
              </w:rPr>
              <w:t xml:space="preserve"> in relation to </w:t>
            </w:r>
            <w:r w:rsidR="00957337">
              <w:rPr>
                <w:rFonts w:ascii="Arial" w:hAnsi="Arial" w:cs="Arial"/>
                <w:bCs/>
                <w:iCs/>
              </w:rPr>
              <w:t xml:space="preserve">CS </w:t>
            </w:r>
            <w:r>
              <w:rPr>
                <w:rFonts w:ascii="Arial" w:hAnsi="Arial" w:cs="Arial"/>
                <w:bCs/>
                <w:iCs/>
              </w:rPr>
              <w:t xml:space="preserve">being responsible for </w:t>
            </w:r>
            <w:r w:rsidR="001A6D3F">
              <w:rPr>
                <w:rFonts w:ascii="Arial" w:hAnsi="Arial" w:cs="Arial"/>
                <w:bCs/>
                <w:iCs/>
              </w:rPr>
              <w:t xml:space="preserve">overseeing a </w:t>
            </w:r>
            <w:r w:rsidR="005F5AFC">
              <w:rPr>
                <w:rFonts w:ascii="Arial" w:hAnsi="Arial" w:cs="Arial"/>
                <w:bCs/>
                <w:iCs/>
              </w:rPr>
              <w:t>Specialty T</w:t>
            </w:r>
            <w:r w:rsidR="001A6D3F">
              <w:rPr>
                <w:rFonts w:ascii="Arial" w:hAnsi="Arial" w:cs="Arial"/>
                <w:bCs/>
                <w:iCs/>
              </w:rPr>
              <w:t>rainee’s clinical work and providing constructive feedback</w:t>
            </w:r>
            <w:r w:rsidR="00957337">
              <w:rPr>
                <w:rFonts w:ascii="Arial" w:hAnsi="Arial" w:cs="Arial"/>
                <w:bCs/>
                <w:iCs/>
              </w:rPr>
              <w:t>,</w:t>
            </w:r>
            <w:r w:rsidR="001A6D3F">
              <w:rPr>
                <w:rFonts w:ascii="Arial" w:hAnsi="Arial" w:cs="Arial"/>
                <w:bCs/>
                <w:iCs/>
              </w:rPr>
              <w:t xml:space="preserve"> as well as the ES being suitably trained a</w:t>
            </w:r>
            <w:r w:rsidR="00957337">
              <w:rPr>
                <w:rFonts w:ascii="Arial" w:hAnsi="Arial" w:cs="Arial"/>
                <w:bCs/>
                <w:iCs/>
              </w:rPr>
              <w:t>n</w:t>
            </w:r>
            <w:r w:rsidR="001A6D3F">
              <w:rPr>
                <w:rFonts w:ascii="Arial" w:hAnsi="Arial" w:cs="Arial"/>
                <w:bCs/>
                <w:iCs/>
              </w:rPr>
              <w:t xml:space="preserve">d </w:t>
            </w:r>
            <w:r w:rsidR="00957337">
              <w:rPr>
                <w:rFonts w:ascii="Arial" w:hAnsi="Arial" w:cs="Arial"/>
                <w:bCs/>
                <w:iCs/>
              </w:rPr>
              <w:t>undertaking appraisal and feedback</w:t>
            </w:r>
            <w:r w:rsidR="00401108" w:rsidRPr="00401108">
              <w:rPr>
                <w:rFonts w:ascii="Arial" w:hAnsi="Arial" w:cs="Arial"/>
                <w:bCs/>
                <w:iCs/>
              </w:rPr>
              <w:t>.</w:t>
            </w:r>
            <w:r w:rsidR="000C5D55">
              <w:rPr>
                <w:rFonts w:ascii="Arial" w:hAnsi="Arial" w:cs="Arial"/>
                <w:bCs/>
                <w:iCs/>
              </w:rPr>
              <w:t xml:space="preserve"> There is further assurance within documentation that </w:t>
            </w:r>
            <w:r w:rsidR="005B4C47">
              <w:rPr>
                <w:rFonts w:ascii="Arial" w:hAnsi="Arial" w:cs="Arial"/>
                <w:bCs/>
                <w:iCs/>
              </w:rPr>
              <w:t xml:space="preserve">confirms the training modules which ES and CS are required to undertake for their roles. </w:t>
            </w:r>
          </w:p>
          <w:p w14:paraId="6E2582DD" w14:textId="77777777" w:rsidR="000224C9" w:rsidRDefault="000224C9" w:rsidP="00D6729D">
            <w:pPr>
              <w:contextualSpacing/>
              <w:rPr>
                <w:rFonts w:ascii="Arial" w:hAnsi="Arial" w:cs="Arial"/>
                <w:bCs/>
                <w:iCs/>
              </w:rPr>
            </w:pPr>
          </w:p>
          <w:p w14:paraId="01EE8CCA" w14:textId="36C026A6" w:rsidR="00AB6883" w:rsidRDefault="00AB6883" w:rsidP="00D6729D">
            <w:pPr>
              <w:contextualSpacing/>
              <w:rPr>
                <w:rFonts w:ascii="Arial" w:hAnsi="Arial" w:cs="Arial"/>
                <w:bCs/>
                <w:iCs/>
              </w:rPr>
            </w:pPr>
            <w:r>
              <w:rPr>
                <w:rFonts w:ascii="Arial" w:hAnsi="Arial" w:cs="Arial"/>
                <w:bCs/>
                <w:iCs/>
              </w:rPr>
              <w:t>The p</w:t>
            </w:r>
            <w:r w:rsidR="003050EC" w:rsidRPr="003050EC">
              <w:rPr>
                <w:rFonts w:ascii="Arial" w:hAnsi="Arial" w:cs="Arial"/>
                <w:bCs/>
                <w:iCs/>
              </w:rPr>
              <w:t>ortfolio evidence</w:t>
            </w:r>
            <w:r>
              <w:rPr>
                <w:rFonts w:ascii="Arial" w:hAnsi="Arial" w:cs="Arial"/>
                <w:bCs/>
                <w:iCs/>
              </w:rPr>
              <w:t xml:space="preserve"> provided to us</w:t>
            </w:r>
            <w:r w:rsidR="003050EC" w:rsidRPr="003050EC">
              <w:rPr>
                <w:rFonts w:ascii="Arial" w:hAnsi="Arial" w:cs="Arial"/>
                <w:bCs/>
                <w:iCs/>
              </w:rPr>
              <w:t xml:space="preserve"> confirms regular feedback is given to </w:t>
            </w:r>
            <w:r w:rsidR="005F5AFC">
              <w:rPr>
                <w:rFonts w:ascii="Arial" w:hAnsi="Arial" w:cs="Arial"/>
                <w:bCs/>
                <w:iCs/>
              </w:rPr>
              <w:t>Specialty Trainee</w:t>
            </w:r>
            <w:r w:rsidR="00FB5B36">
              <w:rPr>
                <w:rFonts w:ascii="Arial" w:hAnsi="Arial" w:cs="Arial"/>
                <w:bCs/>
                <w:iCs/>
              </w:rPr>
              <w:t>s and</w:t>
            </w:r>
            <w:r w:rsidR="003050EC" w:rsidRPr="003050EC">
              <w:rPr>
                <w:rFonts w:ascii="Arial" w:hAnsi="Arial" w:cs="Arial"/>
                <w:bCs/>
                <w:iCs/>
              </w:rPr>
              <w:t xml:space="preserve"> </w:t>
            </w:r>
            <w:r>
              <w:rPr>
                <w:rFonts w:ascii="Arial" w:hAnsi="Arial" w:cs="Arial"/>
                <w:bCs/>
                <w:iCs/>
              </w:rPr>
              <w:t xml:space="preserve">also </w:t>
            </w:r>
            <w:r w:rsidR="003050EC" w:rsidRPr="003050EC">
              <w:rPr>
                <w:rFonts w:ascii="Arial" w:hAnsi="Arial" w:cs="Arial"/>
                <w:bCs/>
                <w:iCs/>
              </w:rPr>
              <w:t>evidence</w:t>
            </w:r>
            <w:r w:rsidR="00B71861">
              <w:rPr>
                <w:rFonts w:ascii="Arial" w:hAnsi="Arial" w:cs="Arial"/>
                <w:bCs/>
                <w:iCs/>
              </w:rPr>
              <w:t>s</w:t>
            </w:r>
            <w:r w:rsidR="003050EC" w:rsidRPr="003050EC">
              <w:rPr>
                <w:rFonts w:ascii="Arial" w:hAnsi="Arial" w:cs="Arial"/>
                <w:bCs/>
                <w:iCs/>
              </w:rPr>
              <w:t xml:space="preserve"> that TPD</w:t>
            </w:r>
            <w:r w:rsidR="00B71861">
              <w:rPr>
                <w:rFonts w:ascii="Arial" w:hAnsi="Arial" w:cs="Arial"/>
                <w:bCs/>
                <w:iCs/>
              </w:rPr>
              <w:t>s</w:t>
            </w:r>
            <w:r w:rsidR="003050EC" w:rsidRPr="003050EC">
              <w:rPr>
                <w:rFonts w:ascii="Arial" w:hAnsi="Arial" w:cs="Arial"/>
                <w:bCs/>
                <w:iCs/>
              </w:rPr>
              <w:t>, CS</w:t>
            </w:r>
            <w:r w:rsidR="00B71861">
              <w:rPr>
                <w:rFonts w:ascii="Arial" w:hAnsi="Arial" w:cs="Arial"/>
                <w:bCs/>
                <w:iCs/>
              </w:rPr>
              <w:t>s</w:t>
            </w:r>
            <w:r w:rsidR="003050EC" w:rsidRPr="003050EC">
              <w:rPr>
                <w:rFonts w:ascii="Arial" w:hAnsi="Arial" w:cs="Arial"/>
                <w:bCs/>
                <w:iCs/>
              </w:rPr>
              <w:t xml:space="preserve">, </w:t>
            </w:r>
            <w:r w:rsidR="00B71861">
              <w:rPr>
                <w:rFonts w:ascii="Arial" w:hAnsi="Arial" w:cs="Arial"/>
                <w:bCs/>
                <w:iCs/>
              </w:rPr>
              <w:t xml:space="preserve">and </w:t>
            </w:r>
            <w:r w:rsidR="003050EC" w:rsidRPr="003050EC">
              <w:rPr>
                <w:rFonts w:ascii="Arial" w:hAnsi="Arial" w:cs="Arial"/>
                <w:bCs/>
                <w:iCs/>
              </w:rPr>
              <w:t>ES</w:t>
            </w:r>
            <w:r w:rsidR="00B71861">
              <w:rPr>
                <w:rFonts w:ascii="Arial" w:hAnsi="Arial" w:cs="Arial"/>
                <w:bCs/>
                <w:iCs/>
              </w:rPr>
              <w:t>s</w:t>
            </w:r>
            <w:r w:rsidR="003050EC" w:rsidRPr="003050EC">
              <w:rPr>
                <w:rFonts w:ascii="Arial" w:hAnsi="Arial" w:cs="Arial"/>
                <w:bCs/>
                <w:iCs/>
              </w:rPr>
              <w:t xml:space="preserve"> provide regular reports on performance. </w:t>
            </w:r>
          </w:p>
          <w:p w14:paraId="7183BF1C" w14:textId="77777777" w:rsidR="00AB6883" w:rsidRDefault="00AB6883" w:rsidP="00D6729D">
            <w:pPr>
              <w:contextualSpacing/>
              <w:rPr>
                <w:rFonts w:ascii="Arial" w:hAnsi="Arial" w:cs="Arial"/>
                <w:bCs/>
                <w:iCs/>
              </w:rPr>
            </w:pPr>
          </w:p>
          <w:p w14:paraId="6F370832" w14:textId="77777777" w:rsidR="00D06144" w:rsidRDefault="00AB6883" w:rsidP="00D6729D">
            <w:pPr>
              <w:contextualSpacing/>
              <w:rPr>
                <w:rFonts w:ascii="Arial" w:hAnsi="Arial" w:cs="Arial"/>
                <w:bCs/>
                <w:iCs/>
              </w:rPr>
            </w:pPr>
            <w:r>
              <w:rPr>
                <w:rFonts w:ascii="Arial" w:hAnsi="Arial" w:cs="Arial"/>
                <w:bCs/>
                <w:iCs/>
              </w:rPr>
              <w:t>The a</w:t>
            </w:r>
            <w:r w:rsidR="003050EC" w:rsidRPr="003050EC">
              <w:rPr>
                <w:rFonts w:ascii="Arial" w:hAnsi="Arial" w:cs="Arial"/>
                <w:bCs/>
                <w:iCs/>
              </w:rPr>
              <w:t xml:space="preserve">nnual </w:t>
            </w:r>
            <w:r w:rsidR="00BB59C6">
              <w:rPr>
                <w:rFonts w:ascii="Arial" w:hAnsi="Arial" w:cs="Arial"/>
                <w:bCs/>
                <w:iCs/>
              </w:rPr>
              <w:t>Multi-Source Feedback (</w:t>
            </w:r>
            <w:r w:rsidR="003050EC" w:rsidRPr="003050EC">
              <w:rPr>
                <w:rFonts w:ascii="Arial" w:hAnsi="Arial" w:cs="Arial"/>
                <w:bCs/>
                <w:iCs/>
              </w:rPr>
              <w:t>MSF</w:t>
            </w:r>
            <w:r w:rsidR="00BB59C6">
              <w:rPr>
                <w:rFonts w:ascii="Arial" w:hAnsi="Arial" w:cs="Arial"/>
                <w:bCs/>
                <w:iCs/>
              </w:rPr>
              <w:t xml:space="preserve">) </w:t>
            </w:r>
            <w:r w:rsidR="00135E5B">
              <w:rPr>
                <w:rFonts w:ascii="Arial" w:hAnsi="Arial" w:cs="Arial"/>
                <w:bCs/>
                <w:iCs/>
              </w:rPr>
              <w:t xml:space="preserve">has a critical role </w:t>
            </w:r>
            <w:r w:rsidR="00152963">
              <w:rPr>
                <w:rFonts w:ascii="Arial" w:hAnsi="Arial" w:cs="Arial"/>
                <w:bCs/>
                <w:iCs/>
              </w:rPr>
              <w:t>in</w:t>
            </w:r>
            <w:r w:rsidR="00135E5B">
              <w:rPr>
                <w:rFonts w:ascii="Arial" w:hAnsi="Arial" w:cs="Arial"/>
                <w:bCs/>
                <w:iCs/>
              </w:rPr>
              <w:t xml:space="preserve"> encouraging reflective practice to improve performance</w:t>
            </w:r>
            <w:r w:rsidR="00152963">
              <w:rPr>
                <w:rFonts w:ascii="Arial" w:hAnsi="Arial" w:cs="Arial"/>
                <w:bCs/>
                <w:iCs/>
              </w:rPr>
              <w:t xml:space="preserve"> and we saw evidence </w:t>
            </w:r>
            <w:r w:rsidR="00A67E3E">
              <w:rPr>
                <w:rFonts w:ascii="Arial" w:hAnsi="Arial" w:cs="Arial"/>
                <w:bCs/>
                <w:iCs/>
              </w:rPr>
              <w:t>of this</w:t>
            </w:r>
            <w:r w:rsidR="005E198C">
              <w:rPr>
                <w:rFonts w:ascii="Arial" w:hAnsi="Arial" w:cs="Arial"/>
                <w:bCs/>
                <w:iCs/>
              </w:rPr>
              <w:t xml:space="preserve"> alongside</w:t>
            </w:r>
            <w:r w:rsidR="00135E5B">
              <w:rPr>
                <w:rFonts w:ascii="Arial" w:hAnsi="Arial" w:cs="Arial"/>
                <w:bCs/>
                <w:iCs/>
              </w:rPr>
              <w:t xml:space="preserve"> </w:t>
            </w:r>
            <w:r w:rsidR="003050EC" w:rsidRPr="003050EC">
              <w:rPr>
                <w:rFonts w:ascii="Arial" w:hAnsi="Arial" w:cs="Arial"/>
                <w:bCs/>
                <w:iCs/>
              </w:rPr>
              <w:t>patient</w:t>
            </w:r>
            <w:r w:rsidR="005E198C">
              <w:rPr>
                <w:rFonts w:ascii="Arial" w:hAnsi="Arial" w:cs="Arial"/>
                <w:bCs/>
                <w:iCs/>
              </w:rPr>
              <w:t xml:space="preserve"> feedback</w:t>
            </w:r>
            <w:r w:rsidR="003050EC" w:rsidRPr="003050EC">
              <w:rPr>
                <w:rFonts w:ascii="Arial" w:hAnsi="Arial" w:cs="Arial"/>
                <w:bCs/>
                <w:iCs/>
              </w:rPr>
              <w:t xml:space="preserve"> required as part of </w:t>
            </w:r>
            <w:r w:rsidR="00D06144">
              <w:rPr>
                <w:rFonts w:ascii="Arial" w:hAnsi="Arial" w:cs="Arial"/>
                <w:bCs/>
                <w:iCs/>
              </w:rPr>
              <w:t>the E-</w:t>
            </w:r>
            <w:r w:rsidR="003050EC" w:rsidRPr="003050EC">
              <w:rPr>
                <w:rFonts w:ascii="Arial" w:hAnsi="Arial" w:cs="Arial"/>
                <w:bCs/>
                <w:iCs/>
              </w:rPr>
              <w:t xml:space="preserve">portfolio. </w:t>
            </w:r>
          </w:p>
          <w:p w14:paraId="306CCCF4" w14:textId="58FF84AE" w:rsidR="00AB6883" w:rsidRDefault="00AB6883" w:rsidP="00D6729D">
            <w:pPr>
              <w:contextualSpacing/>
              <w:rPr>
                <w:rFonts w:ascii="Arial" w:hAnsi="Arial" w:cs="Arial"/>
                <w:bCs/>
                <w:iCs/>
              </w:rPr>
            </w:pPr>
          </w:p>
          <w:p w14:paraId="5D91F175" w14:textId="132A287C" w:rsidR="00AB6883" w:rsidRDefault="00AB6883" w:rsidP="00D6729D">
            <w:pPr>
              <w:contextualSpacing/>
              <w:rPr>
                <w:rFonts w:ascii="Arial" w:hAnsi="Arial" w:cs="Arial"/>
                <w:bCs/>
                <w:iCs/>
              </w:rPr>
            </w:pPr>
            <w:r>
              <w:rPr>
                <w:rFonts w:ascii="Arial" w:hAnsi="Arial" w:cs="Arial"/>
                <w:bCs/>
                <w:iCs/>
              </w:rPr>
              <w:t>Further evidence supports this Requirement under P14.</w:t>
            </w:r>
          </w:p>
          <w:p w14:paraId="20E71DAA" w14:textId="5D69B6C2" w:rsidR="001E7BA8" w:rsidRDefault="001E7BA8" w:rsidP="00D6729D">
            <w:pPr>
              <w:contextualSpacing/>
              <w:rPr>
                <w:rFonts w:ascii="Arial" w:hAnsi="Arial" w:cs="Arial"/>
                <w:bCs/>
                <w:iCs/>
              </w:rPr>
            </w:pPr>
          </w:p>
          <w:p w14:paraId="3B950C90" w14:textId="15F04795" w:rsidR="001E7BA8" w:rsidRPr="00401108" w:rsidRDefault="001E7BA8" w:rsidP="00D6729D">
            <w:pPr>
              <w:contextualSpacing/>
              <w:rPr>
                <w:rFonts w:ascii="Arial" w:hAnsi="Arial" w:cs="Arial"/>
                <w:bCs/>
                <w:iCs/>
              </w:rPr>
            </w:pPr>
            <w:r>
              <w:rPr>
                <w:rFonts w:ascii="Arial" w:hAnsi="Arial" w:cs="Arial"/>
                <w:bCs/>
                <w:iCs/>
              </w:rPr>
              <w:t>We consider this Requirement to be</w:t>
            </w:r>
            <w:r w:rsidR="00C0767D">
              <w:rPr>
                <w:rFonts w:ascii="Arial" w:hAnsi="Arial" w:cs="Arial"/>
                <w:bCs/>
                <w:iCs/>
              </w:rPr>
              <w:t xml:space="preserve"> </w:t>
            </w:r>
            <w:r w:rsidR="00FA4109">
              <w:rPr>
                <w:rFonts w:ascii="Arial" w:hAnsi="Arial" w:cs="Arial"/>
                <w:b/>
                <w:iCs/>
              </w:rPr>
              <w:t>met.</w:t>
            </w:r>
          </w:p>
          <w:p w14:paraId="0324818A" w14:textId="77777777" w:rsidR="00E2148E" w:rsidRPr="007D1E4E" w:rsidRDefault="00E2148E" w:rsidP="00D6729D">
            <w:pPr>
              <w:contextualSpacing/>
              <w:rPr>
                <w:rFonts w:ascii="Arial" w:eastAsia="Calibri" w:hAnsi="Arial" w:cs="Arial"/>
                <w:color w:val="000000" w:themeColor="text1"/>
              </w:rPr>
            </w:pPr>
          </w:p>
          <w:p w14:paraId="2A8A377E" w14:textId="1109FD5E" w:rsidR="00E2148E" w:rsidRDefault="005D5820" w:rsidP="00D6729D">
            <w:pPr>
              <w:contextualSpacing/>
              <w:rPr>
                <w:rFonts w:ascii="Arial" w:hAnsi="Arial" w:cs="Arial"/>
                <w:b/>
                <w:iCs/>
              </w:rPr>
            </w:pPr>
            <w:r>
              <w:rPr>
                <w:rFonts w:ascii="Arial" w:eastAsia="Calibri" w:hAnsi="Arial" w:cs="Arial"/>
                <w:b/>
                <w:color w:val="000000" w:themeColor="text1"/>
              </w:rPr>
              <w:t>P</w:t>
            </w:r>
            <w:r w:rsidR="00E2148E">
              <w:rPr>
                <w:rFonts w:ascii="Arial" w:eastAsia="Calibri" w:hAnsi="Arial" w:cs="Arial"/>
                <w:b/>
                <w:color w:val="000000" w:themeColor="text1"/>
              </w:rPr>
              <w:t xml:space="preserve">18: </w:t>
            </w:r>
            <w:r w:rsidR="00C10F0C" w:rsidRPr="00C10F0C">
              <w:rPr>
                <w:rFonts w:ascii="Arial" w:hAnsi="Arial" w:cs="Arial"/>
                <w:b/>
                <w:iCs/>
              </w:rPr>
              <w:t>Examiners/assessors must have appropriate skills, experience and training to undertake the task of assessment, including appropriate registration with a regulatory body.</w:t>
            </w:r>
            <w:r w:rsidR="00C10F0C">
              <w:rPr>
                <w:rFonts w:ascii="Arial" w:hAnsi="Arial" w:cs="Arial"/>
                <w:b/>
                <w:iCs/>
              </w:rPr>
              <w:t xml:space="preserve"> </w:t>
            </w:r>
            <w:r w:rsidR="00EA58BF">
              <w:rPr>
                <w:rFonts w:ascii="Arial" w:hAnsi="Arial" w:cs="Arial"/>
                <w:b/>
                <w:iCs/>
              </w:rPr>
              <w:t>(</w:t>
            </w:r>
            <w:r w:rsidR="00C10F0C">
              <w:rPr>
                <w:rFonts w:ascii="Arial" w:hAnsi="Arial" w:cs="Arial"/>
                <w:b/>
                <w:iCs/>
              </w:rPr>
              <w:t xml:space="preserve">Requirement </w:t>
            </w:r>
            <w:r w:rsidR="008B466F" w:rsidRPr="00E66AEA">
              <w:rPr>
                <w:rFonts w:ascii="Arial" w:eastAsia="Calibri" w:hAnsi="Arial" w:cs="Arial"/>
                <w:b/>
                <w:iCs/>
                <w:color w:val="000000" w:themeColor="text1"/>
              </w:rPr>
              <w:t>Partly Met</w:t>
            </w:r>
            <w:r w:rsidR="00EA58BF">
              <w:rPr>
                <w:rFonts w:ascii="Arial" w:hAnsi="Arial" w:cs="Arial"/>
                <w:b/>
                <w:iCs/>
              </w:rPr>
              <w:t>)</w:t>
            </w:r>
            <w:r w:rsidR="00C10F0C">
              <w:rPr>
                <w:rFonts w:ascii="Arial" w:hAnsi="Arial" w:cs="Arial"/>
                <w:b/>
                <w:iCs/>
              </w:rPr>
              <w:t>.</w:t>
            </w:r>
          </w:p>
          <w:p w14:paraId="4749AF7A" w14:textId="6FA61341" w:rsidR="009851AD" w:rsidRDefault="009851AD" w:rsidP="00D6729D">
            <w:pPr>
              <w:contextualSpacing/>
              <w:rPr>
                <w:rFonts w:ascii="Arial" w:hAnsi="Arial" w:cs="Arial"/>
                <w:b/>
                <w:iCs/>
              </w:rPr>
            </w:pPr>
          </w:p>
          <w:p w14:paraId="513D9E5F" w14:textId="44D32AB4" w:rsidR="009851AD" w:rsidRPr="00C0767D" w:rsidRDefault="009851AD" w:rsidP="00D6729D">
            <w:pPr>
              <w:contextualSpacing/>
              <w:rPr>
                <w:rFonts w:ascii="Arial" w:hAnsi="Arial" w:cs="Arial"/>
                <w:bCs/>
                <w:iCs/>
              </w:rPr>
            </w:pPr>
            <w:r w:rsidRPr="00C0767D">
              <w:rPr>
                <w:rFonts w:ascii="Arial" w:hAnsi="Arial" w:cs="Arial"/>
                <w:bCs/>
                <w:iCs/>
              </w:rPr>
              <w:t xml:space="preserve">There was an absence of evidence to confirm that </w:t>
            </w:r>
            <w:r w:rsidR="00646DC7">
              <w:rPr>
                <w:rFonts w:ascii="Arial" w:hAnsi="Arial" w:cs="Arial"/>
                <w:bCs/>
                <w:iCs/>
              </w:rPr>
              <w:t>all</w:t>
            </w:r>
            <w:r w:rsidRPr="00C0767D">
              <w:rPr>
                <w:rFonts w:ascii="Arial" w:hAnsi="Arial" w:cs="Arial"/>
                <w:bCs/>
                <w:iCs/>
              </w:rPr>
              <w:t xml:space="preserve"> of the assessors in both HEE SW and TVW had the appropriate skills</w:t>
            </w:r>
            <w:r w:rsidR="003C1BC3">
              <w:rPr>
                <w:rFonts w:ascii="Arial" w:hAnsi="Arial" w:cs="Arial"/>
                <w:bCs/>
                <w:iCs/>
              </w:rPr>
              <w:t xml:space="preserve"> and</w:t>
            </w:r>
            <w:r w:rsidRPr="00C0767D">
              <w:rPr>
                <w:rFonts w:ascii="Arial" w:hAnsi="Arial" w:cs="Arial"/>
                <w:bCs/>
                <w:iCs/>
              </w:rPr>
              <w:t xml:space="preserve"> experience and had undertaken the appropriate training within an appropriate timeframe to assess trainees</w:t>
            </w:r>
            <w:r w:rsidR="007E05B2">
              <w:rPr>
                <w:rFonts w:ascii="Arial" w:hAnsi="Arial" w:cs="Arial"/>
                <w:bCs/>
                <w:iCs/>
              </w:rPr>
              <w:t>, due to a change in the recording system</w:t>
            </w:r>
            <w:r w:rsidR="009E17BA">
              <w:rPr>
                <w:rFonts w:ascii="Arial" w:hAnsi="Arial" w:cs="Arial"/>
                <w:bCs/>
                <w:iCs/>
              </w:rPr>
              <w:t>,</w:t>
            </w:r>
            <w:r w:rsidR="007E05B2">
              <w:rPr>
                <w:rFonts w:ascii="Arial" w:hAnsi="Arial" w:cs="Arial"/>
                <w:bCs/>
                <w:iCs/>
              </w:rPr>
              <w:t xml:space="preserve"> as stated under P5</w:t>
            </w:r>
            <w:r w:rsidRPr="00C0767D">
              <w:rPr>
                <w:rFonts w:ascii="Arial" w:hAnsi="Arial" w:cs="Arial"/>
                <w:bCs/>
                <w:iCs/>
              </w:rPr>
              <w:t xml:space="preserve">. </w:t>
            </w:r>
          </w:p>
          <w:p w14:paraId="261276B3" w14:textId="2D606913" w:rsidR="00841224" w:rsidRDefault="00841224" w:rsidP="00D6729D">
            <w:pPr>
              <w:contextualSpacing/>
              <w:rPr>
                <w:rFonts w:ascii="Arial" w:hAnsi="Arial" w:cs="Arial"/>
                <w:b/>
                <w:iCs/>
              </w:rPr>
            </w:pPr>
          </w:p>
          <w:p w14:paraId="0248C8CB" w14:textId="741A0FAF" w:rsidR="00714392" w:rsidRDefault="00196C8F" w:rsidP="00841224">
            <w:pPr>
              <w:contextualSpacing/>
              <w:rPr>
                <w:rFonts w:ascii="Arial" w:hAnsi="Arial" w:cs="Arial"/>
                <w:bCs/>
                <w:iCs/>
              </w:rPr>
            </w:pPr>
            <w:r>
              <w:rPr>
                <w:rFonts w:ascii="Arial" w:hAnsi="Arial" w:cs="Arial"/>
                <w:bCs/>
                <w:iCs/>
              </w:rPr>
              <w:t xml:space="preserve">The </w:t>
            </w:r>
            <w:r w:rsidR="00B71861">
              <w:rPr>
                <w:rFonts w:ascii="Arial" w:hAnsi="Arial" w:cs="Arial"/>
                <w:bCs/>
                <w:iCs/>
              </w:rPr>
              <w:t>“</w:t>
            </w:r>
            <w:r w:rsidRPr="00E5098E">
              <w:rPr>
                <w:rFonts w:ascii="Arial" w:hAnsi="Arial" w:cs="Arial"/>
                <w:bCs/>
                <w:iCs/>
              </w:rPr>
              <w:t xml:space="preserve">New and </w:t>
            </w:r>
            <w:r w:rsidR="00B71861">
              <w:rPr>
                <w:rFonts w:ascii="Arial" w:hAnsi="Arial" w:cs="Arial"/>
                <w:bCs/>
                <w:iCs/>
              </w:rPr>
              <w:t>R</w:t>
            </w:r>
            <w:r w:rsidRPr="00E5098E">
              <w:rPr>
                <w:rFonts w:ascii="Arial" w:hAnsi="Arial" w:cs="Arial"/>
                <w:bCs/>
                <w:iCs/>
              </w:rPr>
              <w:t xml:space="preserve">eplacement </w:t>
            </w:r>
            <w:r w:rsidR="00B71861">
              <w:rPr>
                <w:rFonts w:ascii="Arial" w:hAnsi="Arial" w:cs="Arial"/>
                <w:bCs/>
                <w:iCs/>
              </w:rPr>
              <w:t>S</w:t>
            </w:r>
            <w:r w:rsidRPr="00E5098E">
              <w:rPr>
                <w:rFonts w:ascii="Arial" w:hAnsi="Arial" w:cs="Arial"/>
                <w:bCs/>
                <w:iCs/>
              </w:rPr>
              <w:t xml:space="preserve">peciality </w:t>
            </w:r>
            <w:r w:rsidR="00B71861">
              <w:rPr>
                <w:rFonts w:ascii="Arial" w:hAnsi="Arial" w:cs="Arial"/>
                <w:bCs/>
                <w:iCs/>
              </w:rPr>
              <w:t>T</w:t>
            </w:r>
            <w:r w:rsidRPr="00E5098E">
              <w:rPr>
                <w:rFonts w:ascii="Arial" w:hAnsi="Arial" w:cs="Arial"/>
                <w:bCs/>
                <w:iCs/>
              </w:rPr>
              <w:t xml:space="preserve">raining </w:t>
            </w:r>
            <w:r w:rsidR="00B71861">
              <w:rPr>
                <w:rFonts w:ascii="Arial" w:hAnsi="Arial" w:cs="Arial"/>
                <w:bCs/>
                <w:iCs/>
              </w:rPr>
              <w:t>P</w:t>
            </w:r>
            <w:r w:rsidRPr="00E5098E">
              <w:rPr>
                <w:rFonts w:ascii="Arial" w:hAnsi="Arial" w:cs="Arial"/>
                <w:bCs/>
                <w:iCs/>
              </w:rPr>
              <w:t xml:space="preserve">ost </w:t>
            </w:r>
            <w:r w:rsidR="00B71861">
              <w:rPr>
                <w:rFonts w:ascii="Arial" w:hAnsi="Arial" w:cs="Arial"/>
                <w:bCs/>
                <w:iCs/>
              </w:rPr>
              <w:t>C</w:t>
            </w:r>
            <w:r w:rsidRPr="00E5098E">
              <w:rPr>
                <w:rFonts w:ascii="Arial" w:hAnsi="Arial" w:cs="Arial"/>
                <w:bCs/>
                <w:iCs/>
              </w:rPr>
              <w:t>hecklist</w:t>
            </w:r>
            <w:r w:rsidR="00B71861">
              <w:rPr>
                <w:rFonts w:ascii="Arial" w:hAnsi="Arial" w:cs="Arial"/>
                <w:bCs/>
                <w:iCs/>
              </w:rPr>
              <w:t>”</w:t>
            </w:r>
            <w:r w:rsidRPr="00E5098E">
              <w:rPr>
                <w:rFonts w:ascii="Arial" w:hAnsi="Arial" w:cs="Arial"/>
                <w:bCs/>
                <w:iCs/>
              </w:rPr>
              <w:t xml:space="preserve"> </w:t>
            </w:r>
            <w:r w:rsidR="00414FA3">
              <w:rPr>
                <w:rFonts w:ascii="Arial" w:hAnsi="Arial" w:cs="Arial"/>
                <w:bCs/>
                <w:iCs/>
              </w:rPr>
              <w:t xml:space="preserve">seeks information including whether </w:t>
            </w:r>
            <w:r w:rsidRPr="00E5098E">
              <w:rPr>
                <w:rFonts w:ascii="Arial" w:hAnsi="Arial" w:cs="Arial"/>
                <w:bCs/>
                <w:iCs/>
              </w:rPr>
              <w:t>trainers have professional registration, are on a specialist list and have undertaken the appropriate</w:t>
            </w:r>
            <w:r w:rsidR="001A14E1" w:rsidRPr="00E5098E">
              <w:rPr>
                <w:rFonts w:ascii="Arial" w:hAnsi="Arial" w:cs="Arial"/>
                <w:bCs/>
                <w:iCs/>
              </w:rPr>
              <w:t xml:space="preserve"> mandated training module</w:t>
            </w:r>
            <w:r w:rsidR="001A14E1">
              <w:rPr>
                <w:rFonts w:ascii="Arial" w:hAnsi="Arial" w:cs="Arial"/>
                <w:bCs/>
                <w:iCs/>
              </w:rPr>
              <w:t>s</w:t>
            </w:r>
            <w:r w:rsidR="00414FA3">
              <w:rPr>
                <w:rFonts w:ascii="Arial" w:hAnsi="Arial" w:cs="Arial"/>
                <w:bCs/>
                <w:iCs/>
              </w:rPr>
              <w:t>. It was noted that the information provided</w:t>
            </w:r>
            <w:r w:rsidR="00AA56EC">
              <w:rPr>
                <w:rFonts w:ascii="Arial" w:hAnsi="Arial" w:cs="Arial"/>
                <w:bCs/>
                <w:iCs/>
              </w:rPr>
              <w:t xml:space="preserve"> by HEE SW</w:t>
            </w:r>
            <w:r w:rsidR="00414FA3">
              <w:rPr>
                <w:rFonts w:ascii="Arial" w:hAnsi="Arial" w:cs="Arial"/>
                <w:bCs/>
                <w:iCs/>
              </w:rPr>
              <w:t xml:space="preserve"> showed that </w:t>
            </w:r>
            <w:r w:rsidR="009851AD">
              <w:rPr>
                <w:rFonts w:ascii="Arial" w:hAnsi="Arial" w:cs="Arial"/>
                <w:bCs/>
                <w:iCs/>
              </w:rPr>
              <w:t xml:space="preserve">in some instances, </w:t>
            </w:r>
            <w:r w:rsidR="00414FA3">
              <w:rPr>
                <w:rFonts w:ascii="Arial" w:hAnsi="Arial" w:cs="Arial"/>
                <w:bCs/>
                <w:iCs/>
              </w:rPr>
              <w:t xml:space="preserve">training had been </w:t>
            </w:r>
            <w:r w:rsidR="00C0767D">
              <w:rPr>
                <w:rFonts w:ascii="Arial" w:hAnsi="Arial" w:cs="Arial"/>
                <w:bCs/>
                <w:iCs/>
              </w:rPr>
              <w:t>undertaken some</w:t>
            </w:r>
            <w:r w:rsidR="00414FA3">
              <w:rPr>
                <w:rFonts w:ascii="Arial" w:hAnsi="Arial" w:cs="Arial"/>
                <w:bCs/>
                <w:iCs/>
              </w:rPr>
              <w:t xml:space="preserve"> years previously</w:t>
            </w:r>
            <w:r w:rsidR="00F1231C">
              <w:rPr>
                <w:rFonts w:ascii="Arial" w:hAnsi="Arial" w:cs="Arial"/>
                <w:bCs/>
                <w:iCs/>
              </w:rPr>
              <w:t xml:space="preserve">. </w:t>
            </w:r>
            <w:r w:rsidR="00F034C5">
              <w:rPr>
                <w:rFonts w:ascii="Arial" w:hAnsi="Arial" w:cs="Arial"/>
                <w:bCs/>
                <w:iCs/>
              </w:rPr>
              <w:t xml:space="preserve">We were not provided with </w:t>
            </w:r>
            <w:r w:rsidR="003C1BC3">
              <w:rPr>
                <w:rFonts w:ascii="Arial" w:hAnsi="Arial" w:cs="Arial"/>
                <w:bCs/>
                <w:iCs/>
              </w:rPr>
              <w:t>the equivalent</w:t>
            </w:r>
            <w:r w:rsidR="00AA56EC">
              <w:rPr>
                <w:rFonts w:ascii="Arial" w:hAnsi="Arial" w:cs="Arial"/>
                <w:bCs/>
                <w:iCs/>
              </w:rPr>
              <w:t xml:space="preserve"> information by HEE TVW</w:t>
            </w:r>
            <w:r w:rsidR="00C002DD">
              <w:rPr>
                <w:rFonts w:ascii="Arial" w:hAnsi="Arial" w:cs="Arial"/>
                <w:bCs/>
                <w:iCs/>
              </w:rPr>
              <w:t>, although we were provided with the ES letter of appointment</w:t>
            </w:r>
          </w:p>
          <w:p w14:paraId="6486D97E" w14:textId="77777777" w:rsidR="00714392" w:rsidRDefault="00714392" w:rsidP="00841224">
            <w:pPr>
              <w:contextualSpacing/>
              <w:rPr>
                <w:rFonts w:ascii="Arial" w:hAnsi="Arial" w:cs="Arial"/>
                <w:bCs/>
                <w:iCs/>
              </w:rPr>
            </w:pPr>
          </w:p>
          <w:p w14:paraId="26B4BFCD" w14:textId="41D920BC" w:rsidR="00714392" w:rsidRDefault="00326014" w:rsidP="00841224">
            <w:pPr>
              <w:contextualSpacing/>
              <w:rPr>
                <w:rFonts w:ascii="Arial" w:hAnsi="Arial" w:cs="Arial"/>
                <w:bCs/>
                <w:iCs/>
              </w:rPr>
            </w:pPr>
            <w:r w:rsidRPr="00E5098E">
              <w:rPr>
                <w:rFonts w:ascii="Arial" w:hAnsi="Arial" w:cs="Arial"/>
                <w:bCs/>
                <w:iCs/>
              </w:rPr>
              <w:t xml:space="preserve">TPD, ES and CS must complete training modules and </w:t>
            </w:r>
            <w:r>
              <w:rPr>
                <w:rFonts w:ascii="Arial" w:hAnsi="Arial" w:cs="Arial"/>
                <w:bCs/>
                <w:iCs/>
              </w:rPr>
              <w:t>a log of training is</w:t>
            </w:r>
            <w:r w:rsidRPr="00E5098E">
              <w:rPr>
                <w:rFonts w:ascii="Arial" w:hAnsi="Arial" w:cs="Arial"/>
                <w:bCs/>
                <w:iCs/>
              </w:rPr>
              <w:t xml:space="preserve"> maintained.</w:t>
            </w:r>
            <w:r w:rsidR="00414FA3">
              <w:rPr>
                <w:rFonts w:ascii="Arial" w:hAnsi="Arial" w:cs="Arial"/>
                <w:bCs/>
                <w:iCs/>
              </w:rPr>
              <w:t xml:space="preserve"> However, the data provided did </w:t>
            </w:r>
            <w:r w:rsidR="008268CA">
              <w:rPr>
                <w:rFonts w:ascii="Arial" w:hAnsi="Arial" w:cs="Arial"/>
                <w:bCs/>
                <w:iCs/>
              </w:rPr>
              <w:t>not</w:t>
            </w:r>
            <w:r w:rsidR="00414FA3">
              <w:rPr>
                <w:rFonts w:ascii="Arial" w:hAnsi="Arial" w:cs="Arial"/>
                <w:bCs/>
                <w:iCs/>
              </w:rPr>
              <w:t xml:space="preserve"> evidence that all assessors had undertaken all relevant training</w:t>
            </w:r>
            <w:r w:rsidR="009851AD">
              <w:rPr>
                <w:rFonts w:ascii="Arial" w:hAnsi="Arial" w:cs="Arial"/>
                <w:bCs/>
                <w:iCs/>
              </w:rPr>
              <w:t xml:space="preserve"> </w:t>
            </w:r>
            <w:r w:rsidR="00414FA3">
              <w:rPr>
                <w:rFonts w:ascii="Arial" w:hAnsi="Arial" w:cs="Arial"/>
                <w:bCs/>
                <w:iCs/>
              </w:rPr>
              <w:t>(including equality and diversity training) within the relevant time frame. It was also not confirmed that examiners and assessors had appropriate registration with a regulatory body.</w:t>
            </w:r>
          </w:p>
          <w:p w14:paraId="50FB3326" w14:textId="77777777" w:rsidR="00714392" w:rsidRDefault="00714392" w:rsidP="00841224">
            <w:pPr>
              <w:contextualSpacing/>
              <w:rPr>
                <w:rFonts w:ascii="Arial" w:hAnsi="Arial" w:cs="Arial"/>
                <w:bCs/>
                <w:iCs/>
              </w:rPr>
            </w:pPr>
          </w:p>
          <w:p w14:paraId="5946E242" w14:textId="26D893AD" w:rsidR="00E66AEA" w:rsidRDefault="00CA392F" w:rsidP="00841224">
            <w:pPr>
              <w:contextualSpacing/>
              <w:rPr>
                <w:rFonts w:ascii="Arial" w:hAnsi="Arial" w:cs="Arial"/>
                <w:bCs/>
                <w:iCs/>
              </w:rPr>
            </w:pPr>
            <w:r>
              <w:rPr>
                <w:rFonts w:ascii="Arial" w:hAnsi="Arial" w:cs="Arial"/>
                <w:bCs/>
                <w:iCs/>
              </w:rPr>
              <w:t>Additional evidence supports this Requirement under</w:t>
            </w:r>
            <w:r w:rsidR="00E5098E" w:rsidRPr="00E5098E">
              <w:rPr>
                <w:rFonts w:ascii="Arial" w:hAnsi="Arial" w:cs="Arial"/>
                <w:bCs/>
                <w:iCs/>
              </w:rPr>
              <w:t xml:space="preserve"> P5 and P14</w:t>
            </w:r>
            <w:r w:rsidR="0016337F">
              <w:rPr>
                <w:rFonts w:ascii="Arial" w:hAnsi="Arial" w:cs="Arial"/>
                <w:bCs/>
                <w:iCs/>
              </w:rPr>
              <w:t xml:space="preserve">, however as the experience and training </w:t>
            </w:r>
            <w:r w:rsidR="000403B9">
              <w:rPr>
                <w:rFonts w:ascii="Arial" w:hAnsi="Arial" w:cs="Arial"/>
                <w:bCs/>
                <w:iCs/>
              </w:rPr>
              <w:t xml:space="preserve">is not captured for all </w:t>
            </w:r>
            <w:r w:rsidR="004F1797">
              <w:rPr>
                <w:rFonts w:ascii="Arial" w:hAnsi="Arial" w:cs="Arial"/>
                <w:bCs/>
                <w:iCs/>
              </w:rPr>
              <w:t>assessors</w:t>
            </w:r>
            <w:r w:rsidR="006A0044">
              <w:rPr>
                <w:rFonts w:ascii="Arial" w:hAnsi="Arial" w:cs="Arial"/>
                <w:bCs/>
                <w:iCs/>
              </w:rPr>
              <w:t xml:space="preserve"> for HEE SW and HEE TVW</w:t>
            </w:r>
            <w:r w:rsidR="00C002DD">
              <w:rPr>
                <w:rFonts w:ascii="Arial" w:hAnsi="Arial" w:cs="Arial"/>
                <w:bCs/>
                <w:iCs/>
              </w:rPr>
              <w:t>,</w:t>
            </w:r>
            <w:r w:rsidR="00E96219">
              <w:rPr>
                <w:rFonts w:ascii="Arial" w:hAnsi="Arial" w:cs="Arial"/>
                <w:bCs/>
                <w:iCs/>
              </w:rPr>
              <w:t xml:space="preserve"> </w:t>
            </w:r>
            <w:r w:rsidR="00E66AEA">
              <w:rPr>
                <w:rFonts w:ascii="Arial" w:hAnsi="Arial" w:cs="Arial"/>
                <w:bCs/>
                <w:iCs/>
              </w:rPr>
              <w:t xml:space="preserve">we consider this requirement to be </w:t>
            </w:r>
            <w:r w:rsidR="00E66AEA" w:rsidRPr="00D8280A">
              <w:rPr>
                <w:rFonts w:ascii="Arial" w:hAnsi="Arial" w:cs="Arial"/>
                <w:b/>
                <w:iCs/>
              </w:rPr>
              <w:t>partly met</w:t>
            </w:r>
            <w:r w:rsidR="006E7416">
              <w:rPr>
                <w:rFonts w:ascii="Arial" w:hAnsi="Arial" w:cs="Arial"/>
                <w:bCs/>
                <w:iCs/>
              </w:rPr>
              <w:t xml:space="preserve"> and would expect </w:t>
            </w:r>
            <w:r w:rsidR="006A0044">
              <w:rPr>
                <w:rFonts w:ascii="Arial" w:hAnsi="Arial" w:cs="Arial"/>
                <w:bCs/>
                <w:iCs/>
              </w:rPr>
              <w:t xml:space="preserve">the </w:t>
            </w:r>
            <w:r w:rsidR="006E7416">
              <w:rPr>
                <w:rFonts w:ascii="Arial" w:hAnsi="Arial" w:cs="Arial"/>
                <w:bCs/>
                <w:iCs/>
              </w:rPr>
              <w:t>records to be update</w:t>
            </w:r>
            <w:r w:rsidR="00681883">
              <w:rPr>
                <w:rFonts w:ascii="Arial" w:hAnsi="Arial" w:cs="Arial"/>
                <w:bCs/>
                <w:iCs/>
              </w:rPr>
              <w:t>d</w:t>
            </w:r>
          </w:p>
          <w:p w14:paraId="1FBB0514" w14:textId="669E1641" w:rsidR="00E2148E" w:rsidRDefault="00E2148E" w:rsidP="00D6729D">
            <w:pPr>
              <w:contextualSpacing/>
            </w:pPr>
          </w:p>
          <w:p w14:paraId="64BE992B" w14:textId="6964240C" w:rsidR="00E2148E" w:rsidRDefault="005D5820" w:rsidP="00D6729D">
            <w:pPr>
              <w:contextualSpacing/>
              <w:rPr>
                <w:rFonts w:ascii="Arial" w:hAnsi="Arial" w:cs="Arial"/>
                <w:b/>
                <w:iCs/>
              </w:rPr>
            </w:pPr>
            <w:r>
              <w:rPr>
                <w:rFonts w:ascii="Arial" w:eastAsia="Calibri" w:hAnsi="Arial" w:cs="Arial"/>
                <w:b/>
                <w:color w:val="000000" w:themeColor="text1"/>
              </w:rPr>
              <w:lastRenderedPageBreak/>
              <w:t>P</w:t>
            </w:r>
            <w:r w:rsidR="00E2148E">
              <w:rPr>
                <w:rFonts w:ascii="Arial" w:eastAsia="Calibri" w:hAnsi="Arial" w:cs="Arial"/>
                <w:b/>
                <w:color w:val="000000" w:themeColor="text1"/>
              </w:rPr>
              <w:t xml:space="preserve">19: </w:t>
            </w:r>
            <w:r w:rsidR="00C10F0C" w:rsidRPr="00C10F0C">
              <w:rPr>
                <w:rFonts w:ascii="Arial" w:hAnsi="Arial" w:cs="Arial"/>
                <w:b/>
                <w:iCs/>
              </w:rPr>
              <w:t>Programme providers must document external examiners/assessors reports on the extent to which examination and/or assessment processes are rigorous, set at the correct standard, ensure equity of treatment for specialty trainees and have been fairly conducted.</w:t>
            </w:r>
            <w:r w:rsidR="00C10F0C">
              <w:rPr>
                <w:rFonts w:ascii="Arial" w:hAnsi="Arial" w:cs="Arial"/>
                <w:b/>
                <w:iCs/>
              </w:rPr>
              <w:t xml:space="preserve"> </w:t>
            </w:r>
            <w:r w:rsidR="00EA58BF">
              <w:rPr>
                <w:rFonts w:ascii="Arial" w:hAnsi="Arial" w:cs="Arial"/>
                <w:b/>
                <w:iCs/>
              </w:rPr>
              <w:t>(</w:t>
            </w:r>
            <w:r w:rsidR="00C10F0C">
              <w:rPr>
                <w:rFonts w:ascii="Arial" w:hAnsi="Arial" w:cs="Arial"/>
                <w:b/>
                <w:iCs/>
              </w:rPr>
              <w:t xml:space="preserve">Requirement </w:t>
            </w:r>
            <w:r w:rsidR="008B466F" w:rsidRPr="00CA392F">
              <w:rPr>
                <w:rFonts w:ascii="Arial" w:eastAsia="Calibri" w:hAnsi="Arial" w:cs="Arial"/>
                <w:b/>
                <w:iCs/>
                <w:color w:val="000000" w:themeColor="text1"/>
              </w:rPr>
              <w:t>Met</w:t>
            </w:r>
            <w:r w:rsidR="00EA58BF">
              <w:rPr>
                <w:rFonts w:ascii="Arial" w:hAnsi="Arial" w:cs="Arial"/>
                <w:b/>
                <w:iCs/>
              </w:rPr>
              <w:t>)</w:t>
            </w:r>
            <w:r w:rsidR="00C10F0C">
              <w:rPr>
                <w:rFonts w:ascii="Arial" w:hAnsi="Arial" w:cs="Arial"/>
                <w:b/>
                <w:iCs/>
              </w:rPr>
              <w:t>.</w:t>
            </w:r>
          </w:p>
          <w:p w14:paraId="4A198FC8" w14:textId="5FCBC292" w:rsidR="00C10F0C" w:rsidRDefault="00C10F0C" w:rsidP="00D6729D">
            <w:pPr>
              <w:contextualSpacing/>
              <w:rPr>
                <w:rFonts w:ascii="Arial" w:hAnsi="Arial" w:cs="Arial"/>
              </w:rPr>
            </w:pPr>
          </w:p>
          <w:p w14:paraId="259D0ACC" w14:textId="0878FB02" w:rsidR="00AA56EC" w:rsidRDefault="00AA56EC" w:rsidP="00AA56EC">
            <w:pPr>
              <w:contextualSpacing/>
              <w:rPr>
                <w:rFonts w:ascii="Arial" w:hAnsi="Arial" w:cs="Arial"/>
              </w:rPr>
            </w:pPr>
            <w:r w:rsidRPr="00E5098E">
              <w:rPr>
                <w:rFonts w:ascii="Arial" w:hAnsi="Arial" w:cs="Arial"/>
              </w:rPr>
              <w:t>All ARCP</w:t>
            </w:r>
            <w:r>
              <w:rPr>
                <w:rFonts w:ascii="Arial" w:hAnsi="Arial" w:cs="Arial"/>
              </w:rPr>
              <w:t>s</w:t>
            </w:r>
            <w:r w:rsidRPr="00E5098E">
              <w:rPr>
                <w:rFonts w:ascii="Arial" w:hAnsi="Arial" w:cs="Arial"/>
              </w:rPr>
              <w:t xml:space="preserve"> include </w:t>
            </w:r>
            <w:r>
              <w:rPr>
                <w:rFonts w:ascii="Arial" w:hAnsi="Arial" w:cs="Arial"/>
              </w:rPr>
              <w:t xml:space="preserve">an </w:t>
            </w:r>
            <w:r w:rsidRPr="00E5098E">
              <w:rPr>
                <w:rFonts w:ascii="Arial" w:hAnsi="Arial" w:cs="Arial"/>
              </w:rPr>
              <w:t xml:space="preserve">external SAC </w:t>
            </w:r>
            <w:r>
              <w:rPr>
                <w:rFonts w:ascii="Arial" w:hAnsi="Arial" w:cs="Arial"/>
              </w:rPr>
              <w:t xml:space="preserve">and Lay </w:t>
            </w:r>
            <w:r w:rsidRPr="00E5098E">
              <w:rPr>
                <w:rFonts w:ascii="Arial" w:hAnsi="Arial" w:cs="Arial"/>
              </w:rPr>
              <w:t>rep</w:t>
            </w:r>
            <w:r>
              <w:rPr>
                <w:rFonts w:ascii="Arial" w:hAnsi="Arial" w:cs="Arial"/>
              </w:rPr>
              <w:t>resentative, each of whom</w:t>
            </w:r>
            <w:r w:rsidRPr="00E5098E">
              <w:rPr>
                <w:rFonts w:ascii="Arial" w:hAnsi="Arial" w:cs="Arial"/>
              </w:rPr>
              <w:t xml:space="preserve"> provid</w:t>
            </w:r>
            <w:r>
              <w:rPr>
                <w:rFonts w:ascii="Arial" w:hAnsi="Arial" w:cs="Arial"/>
              </w:rPr>
              <w:t>es</w:t>
            </w:r>
            <w:r w:rsidRPr="00E5098E">
              <w:rPr>
                <w:rFonts w:ascii="Arial" w:hAnsi="Arial" w:cs="Arial"/>
              </w:rPr>
              <w:t xml:space="preserve"> </w:t>
            </w:r>
            <w:r>
              <w:rPr>
                <w:rFonts w:ascii="Arial" w:hAnsi="Arial" w:cs="Arial"/>
              </w:rPr>
              <w:t xml:space="preserve">a </w:t>
            </w:r>
            <w:r w:rsidRPr="00E5098E">
              <w:rPr>
                <w:rFonts w:ascii="Arial" w:hAnsi="Arial" w:cs="Arial"/>
              </w:rPr>
              <w:t xml:space="preserve">report to HEE.  </w:t>
            </w:r>
          </w:p>
          <w:p w14:paraId="244235DF" w14:textId="77777777" w:rsidR="007B0777" w:rsidRDefault="007B0777" w:rsidP="00AA56EC">
            <w:pPr>
              <w:contextualSpacing/>
              <w:rPr>
                <w:rFonts w:ascii="Arial" w:hAnsi="Arial" w:cs="Arial"/>
              </w:rPr>
            </w:pPr>
          </w:p>
          <w:p w14:paraId="26F451BA" w14:textId="25103E06" w:rsidR="006A21E7" w:rsidRDefault="006A21E7" w:rsidP="00D6729D">
            <w:pPr>
              <w:contextualSpacing/>
              <w:rPr>
                <w:rFonts w:ascii="Arial" w:hAnsi="Arial" w:cs="Arial"/>
              </w:rPr>
            </w:pPr>
            <w:r w:rsidRPr="006A21E7">
              <w:rPr>
                <w:rFonts w:ascii="Arial" w:hAnsi="Arial" w:cs="Arial"/>
              </w:rPr>
              <w:t xml:space="preserve">The narrative and evidence provided supports this requirement. Reference has already been made </w:t>
            </w:r>
            <w:r w:rsidR="009457B4">
              <w:rPr>
                <w:rFonts w:ascii="Arial" w:hAnsi="Arial" w:cs="Arial"/>
              </w:rPr>
              <w:t xml:space="preserve">under previous Requirements in relation to </w:t>
            </w:r>
            <w:r w:rsidRPr="006A21E7">
              <w:rPr>
                <w:rFonts w:ascii="Arial" w:hAnsi="Arial" w:cs="Arial"/>
              </w:rPr>
              <w:t xml:space="preserve">the contents of reports provided by external lay and SAC </w:t>
            </w:r>
            <w:r w:rsidR="00544628" w:rsidRPr="006A21E7">
              <w:rPr>
                <w:rFonts w:ascii="Arial" w:hAnsi="Arial" w:cs="Arial"/>
              </w:rPr>
              <w:t>members.</w:t>
            </w:r>
            <w:r w:rsidRPr="006A21E7">
              <w:rPr>
                <w:rFonts w:ascii="Arial" w:hAnsi="Arial" w:cs="Arial"/>
              </w:rPr>
              <w:t xml:space="preserve"> </w:t>
            </w:r>
          </w:p>
          <w:p w14:paraId="315675CB" w14:textId="77777777" w:rsidR="00FA758F" w:rsidRDefault="00FA758F" w:rsidP="00D6729D">
            <w:pPr>
              <w:contextualSpacing/>
              <w:rPr>
                <w:rFonts w:ascii="Arial" w:hAnsi="Arial" w:cs="Arial"/>
              </w:rPr>
            </w:pPr>
          </w:p>
          <w:p w14:paraId="3CAB4E89" w14:textId="6D5D5822" w:rsidR="00E5098E" w:rsidRDefault="00675F25" w:rsidP="00D6729D">
            <w:pPr>
              <w:contextualSpacing/>
              <w:rPr>
                <w:rFonts w:ascii="Arial" w:hAnsi="Arial" w:cs="Arial"/>
              </w:rPr>
            </w:pPr>
            <w:r>
              <w:rPr>
                <w:rFonts w:ascii="Arial" w:hAnsi="Arial" w:cs="Arial"/>
              </w:rPr>
              <w:t xml:space="preserve">The </w:t>
            </w:r>
            <w:r w:rsidR="00E5098E" w:rsidRPr="00E5098E">
              <w:rPr>
                <w:rFonts w:ascii="Arial" w:hAnsi="Arial" w:cs="Arial"/>
              </w:rPr>
              <w:t xml:space="preserve">ARCP appeal process is </w:t>
            </w:r>
            <w:r w:rsidR="007B0777" w:rsidRPr="00E5098E">
              <w:rPr>
                <w:rFonts w:ascii="Arial" w:hAnsi="Arial" w:cs="Arial"/>
              </w:rPr>
              <w:t>clear,</w:t>
            </w:r>
            <w:r w:rsidR="00E5098E" w:rsidRPr="00E5098E">
              <w:rPr>
                <w:rFonts w:ascii="Arial" w:hAnsi="Arial" w:cs="Arial"/>
              </w:rPr>
              <w:t xml:space="preserve"> </w:t>
            </w:r>
            <w:r w:rsidR="00966949" w:rsidRPr="00E5098E">
              <w:rPr>
                <w:rFonts w:ascii="Arial" w:hAnsi="Arial" w:cs="Arial"/>
              </w:rPr>
              <w:t xml:space="preserve">and </w:t>
            </w:r>
            <w:r w:rsidR="00AA56EC">
              <w:rPr>
                <w:rFonts w:ascii="Arial" w:hAnsi="Arial" w:cs="Arial"/>
              </w:rPr>
              <w:t>Specialty T</w:t>
            </w:r>
            <w:r w:rsidR="00966949" w:rsidRPr="00E5098E">
              <w:rPr>
                <w:rFonts w:ascii="Arial" w:hAnsi="Arial" w:cs="Arial"/>
              </w:rPr>
              <w:t>rainees</w:t>
            </w:r>
            <w:r w:rsidR="00E5098E" w:rsidRPr="00E5098E">
              <w:rPr>
                <w:rFonts w:ascii="Arial" w:hAnsi="Arial" w:cs="Arial"/>
              </w:rPr>
              <w:t xml:space="preserve"> can request a review within 10 days</w:t>
            </w:r>
            <w:r w:rsidR="00714392">
              <w:rPr>
                <w:rFonts w:ascii="Arial" w:hAnsi="Arial" w:cs="Arial"/>
              </w:rPr>
              <w:t xml:space="preserve">, </w:t>
            </w:r>
            <w:r w:rsidR="00E5098E" w:rsidRPr="00E5098E">
              <w:rPr>
                <w:rFonts w:ascii="Arial" w:hAnsi="Arial" w:cs="Arial"/>
              </w:rPr>
              <w:t xml:space="preserve">which may lead to an appeal against their </w:t>
            </w:r>
            <w:r w:rsidR="00D25126">
              <w:rPr>
                <w:rFonts w:ascii="Arial" w:hAnsi="Arial" w:cs="Arial"/>
              </w:rPr>
              <w:t>“</w:t>
            </w:r>
            <w:r w:rsidR="00E5098E" w:rsidRPr="00E5098E">
              <w:rPr>
                <w:rFonts w:ascii="Arial" w:hAnsi="Arial" w:cs="Arial"/>
              </w:rPr>
              <w:t>outcome</w:t>
            </w:r>
            <w:r w:rsidR="00D25126">
              <w:rPr>
                <w:rFonts w:ascii="Arial" w:hAnsi="Arial" w:cs="Arial"/>
              </w:rPr>
              <w:t>”</w:t>
            </w:r>
            <w:r w:rsidR="00E5098E" w:rsidRPr="00E5098E">
              <w:rPr>
                <w:rFonts w:ascii="Arial" w:hAnsi="Arial" w:cs="Arial"/>
              </w:rPr>
              <w:t xml:space="preserve"> decision. This </w:t>
            </w:r>
            <w:r w:rsidR="00FA758F">
              <w:rPr>
                <w:rFonts w:ascii="Arial" w:hAnsi="Arial" w:cs="Arial"/>
              </w:rPr>
              <w:t xml:space="preserve">is </w:t>
            </w:r>
            <w:r w:rsidR="00E5098E" w:rsidRPr="00E5098E">
              <w:rPr>
                <w:rFonts w:ascii="Arial" w:hAnsi="Arial" w:cs="Arial"/>
              </w:rPr>
              <w:t xml:space="preserve">managed through the process outlined in </w:t>
            </w:r>
            <w:r w:rsidR="00714392">
              <w:rPr>
                <w:rFonts w:ascii="Arial" w:hAnsi="Arial" w:cs="Arial"/>
              </w:rPr>
              <w:t xml:space="preserve">the </w:t>
            </w:r>
            <w:r w:rsidR="00E5098E" w:rsidRPr="00E5098E">
              <w:rPr>
                <w:rFonts w:ascii="Arial" w:hAnsi="Arial" w:cs="Arial"/>
              </w:rPr>
              <w:t xml:space="preserve">Dental Gold Guide. </w:t>
            </w:r>
          </w:p>
          <w:p w14:paraId="1A3CADF6" w14:textId="24EA7981" w:rsidR="00FA758F" w:rsidRDefault="00FA758F" w:rsidP="00D6729D">
            <w:pPr>
              <w:contextualSpacing/>
              <w:rPr>
                <w:rFonts w:ascii="Arial" w:hAnsi="Arial" w:cs="Arial"/>
              </w:rPr>
            </w:pPr>
          </w:p>
          <w:p w14:paraId="52441A1C" w14:textId="48B7947E" w:rsidR="00FA758F" w:rsidRDefault="00FA758F" w:rsidP="00D6729D">
            <w:pPr>
              <w:contextualSpacing/>
              <w:rPr>
                <w:rFonts w:ascii="Arial" w:hAnsi="Arial" w:cs="Arial"/>
              </w:rPr>
            </w:pPr>
            <w:r>
              <w:rPr>
                <w:rFonts w:ascii="Arial" w:hAnsi="Arial" w:cs="Arial"/>
              </w:rPr>
              <w:t xml:space="preserve">We consider this Requirement to be </w:t>
            </w:r>
            <w:r w:rsidRPr="00D8280A">
              <w:rPr>
                <w:rFonts w:ascii="Arial" w:hAnsi="Arial" w:cs="Arial"/>
                <w:b/>
                <w:bCs/>
              </w:rPr>
              <w:t>met</w:t>
            </w:r>
            <w:r>
              <w:rPr>
                <w:rFonts w:ascii="Arial" w:hAnsi="Arial" w:cs="Arial"/>
              </w:rPr>
              <w:t>.</w:t>
            </w:r>
          </w:p>
          <w:p w14:paraId="3719F4D8" w14:textId="77777777" w:rsidR="00E5098E" w:rsidRPr="00A062C8" w:rsidRDefault="00E5098E" w:rsidP="00D6729D">
            <w:pPr>
              <w:contextualSpacing/>
              <w:rPr>
                <w:rFonts w:ascii="Arial" w:hAnsi="Arial" w:cs="Arial"/>
              </w:rPr>
            </w:pPr>
          </w:p>
          <w:p w14:paraId="5840EC00" w14:textId="455A574E" w:rsidR="00C10F0C" w:rsidRDefault="005D5820" w:rsidP="00D6729D">
            <w:pPr>
              <w:contextualSpacing/>
              <w:rPr>
                <w:rFonts w:ascii="Arial" w:hAnsi="Arial" w:cs="Arial"/>
                <w:b/>
                <w:iCs/>
              </w:rPr>
            </w:pPr>
            <w:r>
              <w:rPr>
                <w:rFonts w:ascii="Arial" w:eastAsia="Calibri" w:hAnsi="Arial" w:cs="Arial"/>
                <w:b/>
                <w:iCs/>
                <w:color w:val="000000" w:themeColor="text1"/>
                <w:sz w:val="24"/>
                <w:szCs w:val="24"/>
              </w:rPr>
              <w:t>P</w:t>
            </w:r>
            <w:r w:rsidR="00E2148E" w:rsidRPr="00C10F0C">
              <w:rPr>
                <w:rFonts w:ascii="Arial" w:eastAsia="Calibri" w:hAnsi="Arial" w:cs="Arial"/>
                <w:b/>
                <w:iCs/>
                <w:color w:val="000000" w:themeColor="text1"/>
                <w:sz w:val="24"/>
                <w:szCs w:val="24"/>
              </w:rPr>
              <w:t xml:space="preserve">20: </w:t>
            </w:r>
            <w:r w:rsidR="00C10F0C" w:rsidRPr="00C10F0C">
              <w:rPr>
                <w:rFonts w:ascii="Arial" w:hAnsi="Arial" w:cs="Arial"/>
                <w:b/>
                <w:iCs/>
              </w:rPr>
              <w:t>Assessment must be fair and undertaken against clear criteria. The standard expected of specialty trainees in each area to be assessed must be clear and trainees and staff involved in assessment must be aware of this standard. A recognised standard setting process must be employed for assessments. Exceptions from this principle must be clearly justified.</w:t>
            </w:r>
            <w:r w:rsidR="00C10F0C">
              <w:rPr>
                <w:rFonts w:ascii="Arial" w:hAnsi="Arial" w:cs="Arial"/>
                <w:b/>
                <w:iCs/>
              </w:rPr>
              <w:t xml:space="preserve"> </w:t>
            </w:r>
            <w:r w:rsidR="00EA58BF">
              <w:rPr>
                <w:rFonts w:ascii="Arial" w:hAnsi="Arial" w:cs="Arial"/>
                <w:b/>
                <w:iCs/>
              </w:rPr>
              <w:t>(</w:t>
            </w:r>
            <w:r w:rsidR="00C10F0C">
              <w:rPr>
                <w:rFonts w:ascii="Arial" w:hAnsi="Arial" w:cs="Arial"/>
                <w:b/>
                <w:iCs/>
              </w:rPr>
              <w:t xml:space="preserve">Requirement </w:t>
            </w:r>
            <w:r w:rsidR="008B466F" w:rsidRPr="007E1167">
              <w:rPr>
                <w:rFonts w:ascii="Arial" w:eastAsia="Calibri" w:hAnsi="Arial" w:cs="Arial"/>
                <w:b/>
                <w:iCs/>
                <w:color w:val="000000" w:themeColor="text1"/>
              </w:rPr>
              <w:t xml:space="preserve"> Met</w:t>
            </w:r>
            <w:r w:rsidR="00EA58BF">
              <w:rPr>
                <w:rFonts w:ascii="Arial" w:hAnsi="Arial" w:cs="Arial"/>
                <w:b/>
                <w:iCs/>
              </w:rPr>
              <w:t>)</w:t>
            </w:r>
            <w:r w:rsidR="008557CC" w:rsidRPr="0079319E">
              <w:rPr>
                <w:rFonts w:ascii="Arial" w:hAnsi="Arial" w:cs="Arial"/>
                <w:b/>
                <w:iCs/>
              </w:rPr>
              <w:t>.</w:t>
            </w:r>
          </w:p>
          <w:p w14:paraId="01625AA6" w14:textId="77777777" w:rsidR="006A21E7" w:rsidRDefault="006A21E7" w:rsidP="00D6729D">
            <w:pPr>
              <w:contextualSpacing/>
              <w:rPr>
                <w:rFonts w:ascii="Arial" w:hAnsi="Arial" w:cs="Arial"/>
                <w:b/>
                <w:iCs/>
              </w:rPr>
            </w:pPr>
          </w:p>
          <w:p w14:paraId="43A1D133" w14:textId="77E1BFF9" w:rsidR="00036B80" w:rsidRDefault="006A21E7" w:rsidP="00D6729D">
            <w:pPr>
              <w:contextualSpacing/>
              <w:rPr>
                <w:rFonts w:ascii="Arial" w:eastAsia="Calibri" w:hAnsi="Arial" w:cs="Arial"/>
                <w:color w:val="000000" w:themeColor="text1"/>
              </w:rPr>
            </w:pPr>
            <w:r w:rsidRPr="006A21E7">
              <w:rPr>
                <w:rFonts w:ascii="Arial" w:hAnsi="Arial" w:cs="Arial"/>
                <w:bCs/>
                <w:iCs/>
              </w:rPr>
              <w:t>Document</w:t>
            </w:r>
            <w:r w:rsidR="007F239D">
              <w:rPr>
                <w:rFonts w:ascii="Arial" w:hAnsi="Arial" w:cs="Arial"/>
                <w:bCs/>
                <w:iCs/>
              </w:rPr>
              <w:t xml:space="preserve">ation provided under this Requirement </w:t>
            </w:r>
            <w:r w:rsidR="00036B80">
              <w:rPr>
                <w:rFonts w:ascii="Arial" w:hAnsi="Arial" w:cs="Arial"/>
                <w:bCs/>
                <w:iCs/>
              </w:rPr>
              <w:t>provides assurance</w:t>
            </w:r>
            <w:r w:rsidRPr="006A21E7">
              <w:rPr>
                <w:rFonts w:ascii="Arial" w:hAnsi="Arial" w:cs="Arial"/>
                <w:bCs/>
                <w:iCs/>
              </w:rPr>
              <w:t xml:space="preserve"> that there are a variety of </w:t>
            </w:r>
            <w:r w:rsidR="000B73EA">
              <w:rPr>
                <w:rFonts w:ascii="Arial" w:hAnsi="Arial" w:cs="Arial"/>
                <w:bCs/>
                <w:iCs/>
              </w:rPr>
              <w:t>WPBA</w:t>
            </w:r>
            <w:r w:rsidRPr="006A21E7">
              <w:rPr>
                <w:rFonts w:ascii="Arial" w:hAnsi="Arial" w:cs="Arial"/>
                <w:bCs/>
                <w:iCs/>
              </w:rPr>
              <w:t xml:space="preserve"> formats</w:t>
            </w:r>
            <w:r w:rsidR="00CA4CFB">
              <w:rPr>
                <w:rFonts w:ascii="Arial" w:hAnsi="Arial" w:cs="Arial"/>
                <w:bCs/>
                <w:iCs/>
              </w:rPr>
              <w:t>, and</w:t>
            </w:r>
            <w:r w:rsidRPr="006A21E7">
              <w:rPr>
                <w:rFonts w:ascii="Arial" w:hAnsi="Arial" w:cs="Arial"/>
                <w:bCs/>
                <w:iCs/>
              </w:rPr>
              <w:t xml:space="preserve"> that </w:t>
            </w:r>
            <w:r w:rsidR="00036B80">
              <w:rPr>
                <w:rFonts w:ascii="Arial" w:hAnsi="Arial" w:cs="Arial"/>
                <w:bCs/>
                <w:iCs/>
              </w:rPr>
              <w:t>trainees</w:t>
            </w:r>
            <w:r w:rsidRPr="006A21E7">
              <w:rPr>
                <w:rFonts w:ascii="Arial" w:hAnsi="Arial" w:cs="Arial"/>
                <w:bCs/>
                <w:iCs/>
              </w:rPr>
              <w:t xml:space="preserve"> should ensure that they choose the one most appropriate to the skill being assessed.</w:t>
            </w:r>
            <w:r w:rsidR="006C3C1E" w:rsidRPr="004958FE">
              <w:rPr>
                <w:rFonts w:ascii="Arial" w:eastAsia="Calibri" w:hAnsi="Arial" w:cs="Arial"/>
                <w:color w:val="000000" w:themeColor="text1"/>
              </w:rPr>
              <w:t xml:space="preserve"> All trainees issued with a developmental or non-progressive outcome</w:t>
            </w:r>
            <w:r w:rsidR="006C3C1E">
              <w:rPr>
                <w:rFonts w:ascii="Arial" w:eastAsia="Calibri" w:hAnsi="Arial" w:cs="Arial"/>
                <w:color w:val="000000" w:themeColor="text1"/>
              </w:rPr>
              <w:t xml:space="preserve"> are</w:t>
            </w:r>
            <w:r w:rsidR="006C3C1E" w:rsidRPr="004958FE">
              <w:rPr>
                <w:rFonts w:ascii="Arial" w:eastAsia="Calibri" w:hAnsi="Arial" w:cs="Arial"/>
                <w:color w:val="000000" w:themeColor="text1"/>
              </w:rPr>
              <w:t xml:space="preserve"> offered a support meeting and made aware of all the professional support available.  </w:t>
            </w:r>
          </w:p>
          <w:p w14:paraId="7A927E3A" w14:textId="77777777" w:rsidR="00036B80" w:rsidRDefault="00036B80" w:rsidP="00D6729D">
            <w:pPr>
              <w:contextualSpacing/>
              <w:rPr>
                <w:rFonts w:ascii="Arial" w:hAnsi="Arial" w:cs="Arial"/>
                <w:bCs/>
                <w:iCs/>
              </w:rPr>
            </w:pPr>
          </w:p>
          <w:p w14:paraId="4ECE7003" w14:textId="2EE07F62" w:rsidR="00AF6589" w:rsidRDefault="00345F8B" w:rsidP="00D6729D">
            <w:pPr>
              <w:contextualSpacing/>
              <w:rPr>
                <w:rFonts w:ascii="Arial" w:hAnsi="Arial" w:cs="Arial"/>
                <w:bCs/>
                <w:iCs/>
              </w:rPr>
            </w:pPr>
            <w:r>
              <w:rPr>
                <w:rFonts w:ascii="Arial" w:hAnsi="Arial" w:cs="Arial"/>
                <w:bCs/>
                <w:iCs/>
              </w:rPr>
              <w:t xml:space="preserve">In the Introduction to Dental Specialty Training </w:t>
            </w:r>
            <w:r w:rsidR="00486A2F">
              <w:rPr>
                <w:rFonts w:ascii="Arial" w:hAnsi="Arial" w:cs="Arial"/>
                <w:bCs/>
                <w:iCs/>
              </w:rPr>
              <w:t>PowerPoint,</w:t>
            </w:r>
            <w:r>
              <w:rPr>
                <w:rFonts w:ascii="Arial" w:hAnsi="Arial" w:cs="Arial"/>
                <w:bCs/>
                <w:iCs/>
              </w:rPr>
              <w:t xml:space="preserve"> </w:t>
            </w:r>
            <w:r w:rsidR="00AF6589">
              <w:rPr>
                <w:rFonts w:ascii="Arial" w:hAnsi="Arial" w:cs="Arial"/>
                <w:bCs/>
                <w:iCs/>
              </w:rPr>
              <w:t xml:space="preserve">there is </w:t>
            </w:r>
            <w:r w:rsidR="006A21E7" w:rsidRPr="006A21E7">
              <w:rPr>
                <w:rFonts w:ascii="Arial" w:hAnsi="Arial" w:cs="Arial"/>
                <w:bCs/>
                <w:iCs/>
              </w:rPr>
              <w:t xml:space="preserve">a diagram showing that intended learning outcomes (based on the particular specialty curricula and set out in the learning agreement), have to be evidenced by assessments of performance and experience. </w:t>
            </w:r>
          </w:p>
          <w:p w14:paraId="7F3E6E71" w14:textId="77777777" w:rsidR="00801A3A" w:rsidRDefault="00801A3A" w:rsidP="00D6729D">
            <w:pPr>
              <w:contextualSpacing/>
              <w:rPr>
                <w:rFonts w:ascii="Arial" w:hAnsi="Arial" w:cs="Arial"/>
                <w:bCs/>
                <w:iCs/>
              </w:rPr>
            </w:pPr>
          </w:p>
          <w:p w14:paraId="7AD23E01" w14:textId="589F2783" w:rsidR="00451202" w:rsidRDefault="009222EB" w:rsidP="00D6729D">
            <w:pPr>
              <w:contextualSpacing/>
              <w:rPr>
                <w:rFonts w:ascii="Arial" w:hAnsi="Arial" w:cs="Arial"/>
                <w:bCs/>
                <w:iCs/>
              </w:rPr>
            </w:pPr>
            <w:r>
              <w:rPr>
                <w:rFonts w:ascii="Arial" w:hAnsi="Arial" w:cs="Arial"/>
                <w:bCs/>
                <w:iCs/>
              </w:rPr>
              <w:t xml:space="preserve">The COPDEND ARCP Training </w:t>
            </w:r>
            <w:r w:rsidR="00486A2F">
              <w:rPr>
                <w:rFonts w:ascii="Arial" w:hAnsi="Arial" w:cs="Arial"/>
                <w:bCs/>
                <w:iCs/>
              </w:rPr>
              <w:t>PowerPoint</w:t>
            </w:r>
            <w:r>
              <w:rPr>
                <w:rFonts w:ascii="Arial" w:hAnsi="Arial" w:cs="Arial"/>
                <w:bCs/>
                <w:iCs/>
              </w:rPr>
              <w:t xml:space="preserve"> </w:t>
            </w:r>
            <w:r w:rsidR="00D25126">
              <w:rPr>
                <w:rFonts w:ascii="Arial" w:hAnsi="Arial" w:cs="Arial"/>
                <w:bCs/>
                <w:iCs/>
              </w:rPr>
              <w:t xml:space="preserve">(from 2016) </w:t>
            </w:r>
            <w:r w:rsidR="006A21E7" w:rsidRPr="006A21E7">
              <w:rPr>
                <w:rFonts w:ascii="Arial" w:hAnsi="Arial" w:cs="Arial"/>
                <w:bCs/>
                <w:iCs/>
              </w:rPr>
              <w:t xml:space="preserve">provides guidance to members of </w:t>
            </w:r>
            <w:r w:rsidR="00721103">
              <w:rPr>
                <w:rFonts w:ascii="Arial" w:hAnsi="Arial" w:cs="Arial"/>
                <w:bCs/>
                <w:iCs/>
              </w:rPr>
              <w:t>SAC</w:t>
            </w:r>
            <w:r w:rsidR="006A21E7" w:rsidRPr="006A21E7">
              <w:rPr>
                <w:rFonts w:ascii="Arial" w:hAnsi="Arial" w:cs="Arial"/>
                <w:bCs/>
                <w:iCs/>
              </w:rPr>
              <w:t xml:space="preserve"> members, who sit as </w:t>
            </w:r>
            <w:r w:rsidRPr="006A21E7">
              <w:rPr>
                <w:rFonts w:ascii="Arial" w:hAnsi="Arial" w:cs="Arial"/>
                <w:bCs/>
                <w:iCs/>
              </w:rPr>
              <w:t>external</w:t>
            </w:r>
            <w:r w:rsidR="006A21E7" w:rsidRPr="006A21E7">
              <w:rPr>
                <w:rFonts w:ascii="Arial" w:hAnsi="Arial" w:cs="Arial"/>
                <w:bCs/>
                <w:iCs/>
              </w:rPr>
              <w:t xml:space="preserve"> members on ARCP</w:t>
            </w:r>
            <w:r w:rsidR="00721103">
              <w:rPr>
                <w:rFonts w:ascii="Arial" w:hAnsi="Arial" w:cs="Arial"/>
                <w:bCs/>
                <w:iCs/>
              </w:rPr>
              <w:t>s</w:t>
            </w:r>
            <w:r w:rsidR="006A21E7" w:rsidRPr="006A21E7">
              <w:rPr>
                <w:rFonts w:ascii="Arial" w:hAnsi="Arial" w:cs="Arial"/>
                <w:bCs/>
                <w:iCs/>
              </w:rPr>
              <w:t>.</w:t>
            </w:r>
            <w:r w:rsidR="00206947">
              <w:rPr>
                <w:rFonts w:ascii="Arial" w:hAnsi="Arial" w:cs="Arial"/>
                <w:bCs/>
                <w:iCs/>
              </w:rPr>
              <w:t xml:space="preserve"> </w:t>
            </w:r>
            <w:r w:rsidR="00714392" w:rsidRPr="004958FE">
              <w:rPr>
                <w:rFonts w:ascii="Arial" w:eastAsia="Calibri" w:hAnsi="Arial" w:cs="Arial"/>
                <w:color w:val="000000" w:themeColor="text1"/>
              </w:rPr>
              <w:t>ARCP panel guidance</w:t>
            </w:r>
            <w:r w:rsidR="00714392">
              <w:rPr>
                <w:rFonts w:ascii="Arial" w:eastAsia="Calibri" w:hAnsi="Arial" w:cs="Arial"/>
                <w:color w:val="000000" w:themeColor="text1"/>
              </w:rPr>
              <w:t xml:space="preserve"> is</w:t>
            </w:r>
            <w:r w:rsidR="00714392" w:rsidRPr="004958FE">
              <w:rPr>
                <w:rFonts w:ascii="Arial" w:eastAsia="Calibri" w:hAnsi="Arial" w:cs="Arial"/>
                <w:color w:val="000000" w:themeColor="text1"/>
              </w:rPr>
              <w:t xml:space="preserve"> used to ensure parity between panels.</w:t>
            </w:r>
          </w:p>
          <w:p w14:paraId="3C4F5D29" w14:textId="77777777" w:rsidR="00D25126" w:rsidRDefault="00D25126" w:rsidP="00AF3C14">
            <w:pPr>
              <w:contextualSpacing/>
              <w:rPr>
                <w:rFonts w:ascii="Arial" w:hAnsi="Arial" w:cs="Arial"/>
                <w:bCs/>
                <w:iCs/>
              </w:rPr>
            </w:pPr>
          </w:p>
          <w:p w14:paraId="1F0C3AEE" w14:textId="52D538B5" w:rsidR="004958FE" w:rsidRPr="00D51BA1" w:rsidRDefault="0014407F" w:rsidP="00D566DE">
            <w:pPr>
              <w:contextualSpacing/>
              <w:rPr>
                <w:rFonts w:ascii="Arial" w:eastAsia="Calibri" w:hAnsi="Arial" w:cs="Arial"/>
                <w:color w:val="000000" w:themeColor="text1"/>
              </w:rPr>
            </w:pPr>
            <w:r>
              <w:rPr>
                <w:rFonts w:ascii="Arial" w:eastAsia="Calibri" w:hAnsi="Arial" w:cs="Arial"/>
                <w:color w:val="000000" w:themeColor="text1"/>
              </w:rPr>
              <w:t>W</w:t>
            </w:r>
            <w:r w:rsidR="00AC2C3C">
              <w:rPr>
                <w:rFonts w:ascii="Arial" w:eastAsia="Calibri" w:hAnsi="Arial" w:cs="Arial"/>
                <w:color w:val="000000" w:themeColor="text1"/>
              </w:rPr>
              <w:t xml:space="preserve">e consider this Requirement to </w:t>
            </w:r>
            <w:r w:rsidR="004C15A3">
              <w:rPr>
                <w:rFonts w:ascii="Arial" w:eastAsia="Calibri" w:hAnsi="Arial" w:cs="Arial"/>
                <w:color w:val="000000" w:themeColor="text1"/>
              </w:rPr>
              <w:t xml:space="preserve">be </w:t>
            </w:r>
            <w:r w:rsidR="004C15A3" w:rsidRPr="00D8280A">
              <w:rPr>
                <w:rFonts w:ascii="Arial" w:eastAsia="Calibri" w:hAnsi="Arial" w:cs="Arial"/>
                <w:b/>
                <w:bCs/>
                <w:color w:val="000000" w:themeColor="text1"/>
              </w:rPr>
              <w:t>met</w:t>
            </w:r>
            <w:r w:rsidR="00AC2C3C">
              <w:rPr>
                <w:rFonts w:ascii="Arial" w:eastAsia="Calibri" w:hAnsi="Arial" w:cs="Arial"/>
                <w:color w:val="000000" w:themeColor="text1"/>
              </w:rPr>
              <w:t>.</w:t>
            </w:r>
          </w:p>
        </w:tc>
      </w:tr>
    </w:tbl>
    <w:p w14:paraId="59D63B02" w14:textId="77777777" w:rsidR="004213EA" w:rsidRDefault="004213EA" w:rsidP="00D6729D">
      <w:pPr>
        <w:spacing w:line="240" w:lineRule="auto"/>
        <w:contextualSpacing/>
        <w:rPr>
          <w:rFonts w:ascii="Arial" w:hAnsi="Arial" w:cs="Arial"/>
          <w:b/>
          <w:color w:val="1F3864" w:themeColor="accent1" w:themeShade="80"/>
          <w:sz w:val="28"/>
        </w:rPr>
        <w:sectPr w:rsidR="004213EA" w:rsidSect="00F671FD">
          <w:footerReference w:type="default" r:id="rId12"/>
          <w:pgSz w:w="11906" w:h="16838"/>
          <w:pgMar w:top="1440" w:right="1440" w:bottom="1440" w:left="1440" w:header="708" w:footer="708" w:gutter="0"/>
          <w:cols w:space="708"/>
          <w:docGrid w:linePitch="360"/>
        </w:sectPr>
      </w:pPr>
    </w:p>
    <w:p w14:paraId="0AA2B08B" w14:textId="3CED3673" w:rsidR="00DD37F6" w:rsidRDefault="004213EA" w:rsidP="00D6729D">
      <w:pPr>
        <w:spacing w:line="240" w:lineRule="auto"/>
        <w:contextualSpacing/>
        <w:rPr>
          <w:rFonts w:ascii="Arial" w:hAnsi="Arial" w:cs="Arial"/>
          <w:b/>
          <w:color w:val="1F3864" w:themeColor="accent1" w:themeShade="80"/>
          <w:sz w:val="28"/>
        </w:rPr>
      </w:pPr>
      <w:r w:rsidRPr="00652DF0">
        <w:rPr>
          <w:rFonts w:ascii="Arial" w:hAnsi="Arial" w:cs="Arial"/>
          <w:b/>
          <w:color w:val="1F3864" w:themeColor="accent1" w:themeShade="80"/>
          <w:sz w:val="28"/>
        </w:rPr>
        <w:lastRenderedPageBreak/>
        <w:t>Summary of Acti</w:t>
      </w:r>
      <w:r w:rsidR="00FA6320">
        <w:rPr>
          <w:rFonts w:ascii="Arial" w:hAnsi="Arial" w:cs="Arial"/>
          <w:b/>
          <w:color w:val="1F3864" w:themeColor="accent1" w:themeShade="80"/>
          <w:sz w:val="28"/>
        </w:rPr>
        <w:t>o</w:t>
      </w:r>
      <w:r w:rsidR="00BE085C">
        <w:rPr>
          <w:rFonts w:ascii="Arial" w:hAnsi="Arial" w:cs="Arial"/>
          <w:b/>
          <w:color w:val="1F3864" w:themeColor="accent1" w:themeShade="80"/>
          <w:sz w:val="28"/>
        </w:rPr>
        <w:t>n</w:t>
      </w:r>
      <w:r w:rsidR="00121834">
        <w:rPr>
          <w:rFonts w:ascii="Arial" w:hAnsi="Arial" w:cs="Arial"/>
          <w:b/>
          <w:color w:val="1F3864" w:themeColor="accent1" w:themeShade="80"/>
          <w:sz w:val="28"/>
        </w:rPr>
        <w:t>s</w:t>
      </w:r>
      <w:r w:rsidR="008F5C10">
        <w:rPr>
          <w:rFonts w:ascii="Arial" w:hAnsi="Arial" w:cs="Arial"/>
          <w:b/>
          <w:color w:val="1F3864" w:themeColor="accent1" w:themeShade="80"/>
          <w:sz w:val="28"/>
        </w:rPr>
        <w:t xml:space="preserve"> for Provider</w:t>
      </w:r>
    </w:p>
    <w:p w14:paraId="734EB70F" w14:textId="77777777" w:rsidR="00CC0C8C" w:rsidRDefault="00CC0C8C" w:rsidP="00D6729D">
      <w:pPr>
        <w:spacing w:line="240" w:lineRule="auto"/>
        <w:contextualSpacing/>
        <w:rPr>
          <w:rFonts w:ascii="Arial" w:hAnsi="Arial" w:cs="Arial"/>
          <w:b/>
          <w:color w:val="1F3864" w:themeColor="accent1" w:themeShade="80"/>
          <w:sz w:val="28"/>
        </w:rPr>
      </w:pPr>
    </w:p>
    <w:tbl>
      <w:tblPr>
        <w:tblStyle w:val="TableGrid"/>
        <w:tblW w:w="14170" w:type="dxa"/>
        <w:tblLook w:val="04A0" w:firstRow="1" w:lastRow="0" w:firstColumn="1" w:lastColumn="0" w:noHBand="0" w:noVBand="1"/>
      </w:tblPr>
      <w:tblGrid>
        <w:gridCol w:w="1129"/>
        <w:gridCol w:w="5670"/>
        <w:gridCol w:w="5670"/>
        <w:gridCol w:w="1701"/>
      </w:tblGrid>
      <w:tr w:rsidR="00DD37F6" w14:paraId="6512FE8F" w14:textId="77777777" w:rsidTr="5FA9F001">
        <w:tc>
          <w:tcPr>
            <w:tcW w:w="1129" w:type="dxa"/>
            <w:shd w:val="clear" w:color="auto" w:fill="2F5496" w:themeFill="accent1" w:themeFillShade="BF"/>
          </w:tcPr>
          <w:p w14:paraId="1E5B7ECB" w14:textId="77777777" w:rsidR="00DD37F6" w:rsidRPr="00082F5C" w:rsidRDefault="0000445E" w:rsidP="00D6729D">
            <w:pPr>
              <w:contextualSpacing/>
              <w:rPr>
                <w:rFonts w:ascii="Arial" w:hAnsi="Arial" w:cs="Arial"/>
                <w:b/>
                <w:color w:val="FFFFFF" w:themeColor="background1"/>
              </w:rPr>
            </w:pPr>
            <w:r w:rsidRPr="00082F5C">
              <w:rPr>
                <w:rFonts w:ascii="Arial" w:hAnsi="Arial" w:cs="Arial"/>
                <w:b/>
                <w:color w:val="FFFFFF" w:themeColor="background1"/>
              </w:rPr>
              <w:t>Req</w:t>
            </w:r>
            <w:r w:rsidR="0098457E" w:rsidRPr="00082F5C">
              <w:rPr>
                <w:rFonts w:ascii="Arial" w:hAnsi="Arial" w:cs="Arial"/>
                <w:b/>
                <w:color w:val="FFFFFF" w:themeColor="background1"/>
              </w:rPr>
              <w:t>.</w:t>
            </w:r>
            <w:r w:rsidR="00EA2031" w:rsidRPr="00082F5C">
              <w:rPr>
                <w:rFonts w:ascii="Arial" w:hAnsi="Arial" w:cs="Arial"/>
                <w:b/>
                <w:color w:val="FFFFFF" w:themeColor="background1"/>
              </w:rPr>
              <w:t xml:space="preserve"> </w:t>
            </w:r>
            <w:r w:rsidR="0098457E" w:rsidRPr="00082F5C">
              <w:rPr>
                <w:rFonts w:ascii="Arial" w:hAnsi="Arial" w:cs="Arial"/>
                <w:b/>
                <w:color w:val="FFFFFF" w:themeColor="background1"/>
              </w:rPr>
              <w:t>number</w:t>
            </w:r>
          </w:p>
        </w:tc>
        <w:tc>
          <w:tcPr>
            <w:tcW w:w="5670" w:type="dxa"/>
            <w:shd w:val="clear" w:color="auto" w:fill="2F5496" w:themeFill="accent1" w:themeFillShade="BF"/>
          </w:tcPr>
          <w:p w14:paraId="371BF15C" w14:textId="6F58E0D9" w:rsidR="00DD37F6" w:rsidRPr="00082F5C" w:rsidRDefault="0000445E" w:rsidP="00D6729D">
            <w:pPr>
              <w:contextualSpacing/>
              <w:rPr>
                <w:rFonts w:ascii="Arial" w:hAnsi="Arial" w:cs="Arial"/>
                <w:b/>
                <w:color w:val="FFFFFF" w:themeColor="background1"/>
              </w:rPr>
            </w:pPr>
            <w:r w:rsidRPr="00082F5C">
              <w:rPr>
                <w:rFonts w:ascii="Arial" w:hAnsi="Arial" w:cs="Arial"/>
                <w:b/>
                <w:color w:val="FFFFFF" w:themeColor="background1"/>
              </w:rPr>
              <w:t>Action</w:t>
            </w:r>
            <w:r w:rsidR="00D566DE">
              <w:rPr>
                <w:rFonts w:ascii="Arial" w:hAnsi="Arial" w:cs="Arial"/>
                <w:b/>
                <w:color w:val="FFFFFF" w:themeColor="background1"/>
              </w:rPr>
              <w:t xml:space="preserve"> for HEE SW TVW</w:t>
            </w:r>
          </w:p>
        </w:tc>
        <w:tc>
          <w:tcPr>
            <w:tcW w:w="5670" w:type="dxa"/>
            <w:shd w:val="clear" w:color="auto" w:fill="2F5496" w:themeFill="accent1" w:themeFillShade="BF"/>
          </w:tcPr>
          <w:p w14:paraId="4607386E" w14:textId="1D51F2BD" w:rsidR="00DD37F6" w:rsidRPr="00082F5C" w:rsidRDefault="0000445E" w:rsidP="00D6729D">
            <w:pPr>
              <w:contextualSpacing/>
              <w:rPr>
                <w:rFonts w:ascii="Arial" w:hAnsi="Arial" w:cs="Arial"/>
                <w:b/>
                <w:color w:val="FFFFFF" w:themeColor="background1"/>
              </w:rPr>
            </w:pPr>
            <w:r w:rsidRPr="00082F5C">
              <w:rPr>
                <w:rFonts w:ascii="Arial" w:hAnsi="Arial" w:cs="Arial"/>
                <w:b/>
                <w:color w:val="FFFFFF" w:themeColor="background1"/>
              </w:rPr>
              <w:t xml:space="preserve">Observations </w:t>
            </w:r>
            <w:r w:rsidR="00EA2031" w:rsidRPr="00082F5C">
              <w:rPr>
                <w:rFonts w:ascii="Arial" w:hAnsi="Arial" w:cs="Arial"/>
                <w:b/>
                <w:color w:val="FFFFFF" w:themeColor="background1"/>
              </w:rPr>
              <w:t xml:space="preserve">&amp; response from </w:t>
            </w:r>
            <w:r w:rsidR="00D566DE">
              <w:rPr>
                <w:rFonts w:ascii="Arial" w:hAnsi="Arial" w:cs="Arial"/>
                <w:b/>
                <w:color w:val="FFFFFF" w:themeColor="background1"/>
              </w:rPr>
              <w:t>HEE SW TVW</w:t>
            </w:r>
          </w:p>
        </w:tc>
        <w:tc>
          <w:tcPr>
            <w:tcW w:w="1701" w:type="dxa"/>
            <w:shd w:val="clear" w:color="auto" w:fill="2F5496" w:themeFill="accent1" w:themeFillShade="BF"/>
          </w:tcPr>
          <w:p w14:paraId="1E0C9DEB" w14:textId="77777777" w:rsidR="00DD37F6" w:rsidRPr="00082F5C" w:rsidRDefault="00EA2031" w:rsidP="00D6729D">
            <w:pPr>
              <w:contextualSpacing/>
              <w:rPr>
                <w:rFonts w:ascii="Arial" w:hAnsi="Arial" w:cs="Arial"/>
                <w:b/>
                <w:color w:val="FFFFFF" w:themeColor="background1"/>
              </w:rPr>
            </w:pPr>
            <w:r w:rsidRPr="00082F5C">
              <w:rPr>
                <w:rFonts w:ascii="Arial" w:hAnsi="Arial" w:cs="Arial"/>
                <w:b/>
                <w:color w:val="FFFFFF" w:themeColor="background1"/>
              </w:rPr>
              <w:t>Due date</w:t>
            </w:r>
          </w:p>
        </w:tc>
      </w:tr>
      <w:tr w:rsidR="0098457E" w14:paraId="0DD397A2" w14:textId="77777777" w:rsidTr="000C4BB5">
        <w:trPr>
          <w:trHeight w:val="1240"/>
        </w:trPr>
        <w:tc>
          <w:tcPr>
            <w:tcW w:w="1129" w:type="dxa"/>
            <w:shd w:val="clear" w:color="auto" w:fill="FFFFFF" w:themeFill="background1"/>
          </w:tcPr>
          <w:p w14:paraId="1C4C0D6A" w14:textId="3D9FBD78" w:rsidR="0098457E" w:rsidRPr="00082F5C" w:rsidRDefault="00541168" w:rsidP="00D6729D">
            <w:pPr>
              <w:contextualSpacing/>
              <w:rPr>
                <w:rFonts w:ascii="Arial" w:hAnsi="Arial" w:cs="Arial"/>
              </w:rPr>
            </w:pPr>
            <w:r w:rsidRPr="00E01564">
              <w:rPr>
                <w:rFonts w:ascii="Arial" w:hAnsi="Arial" w:cs="Arial"/>
              </w:rPr>
              <w:t>P</w:t>
            </w:r>
            <w:r w:rsidR="00E01564">
              <w:rPr>
                <w:rFonts w:ascii="Arial" w:hAnsi="Arial" w:cs="Arial"/>
              </w:rPr>
              <w:t>2</w:t>
            </w:r>
          </w:p>
        </w:tc>
        <w:tc>
          <w:tcPr>
            <w:tcW w:w="5670" w:type="dxa"/>
            <w:shd w:val="clear" w:color="auto" w:fill="FFFFFF" w:themeFill="background1"/>
          </w:tcPr>
          <w:p w14:paraId="177BC1E0" w14:textId="2FEB4154" w:rsidR="00541168" w:rsidRPr="002C6E99" w:rsidRDefault="318AABDA" w:rsidP="000C4BB5">
            <w:pPr>
              <w:pStyle w:val="ListParagraph"/>
              <w:numPr>
                <w:ilvl w:val="0"/>
                <w:numId w:val="15"/>
              </w:numPr>
              <w:spacing w:after="0" w:line="240" w:lineRule="auto"/>
              <w:rPr>
                <w:rFonts w:ascii="Arial" w:hAnsi="Arial" w:cs="Arial"/>
              </w:rPr>
            </w:pPr>
            <w:r w:rsidRPr="5FA9F001">
              <w:rPr>
                <w:rFonts w:ascii="Arial" w:hAnsi="Arial" w:cs="Arial"/>
                <w:color w:val="000000" w:themeColor="text1"/>
              </w:rPr>
              <w:t xml:space="preserve">Provide </w:t>
            </w:r>
            <w:r w:rsidR="6882C19A" w:rsidRPr="5FA9F001">
              <w:rPr>
                <w:rFonts w:ascii="Arial" w:hAnsi="Arial" w:cs="Arial"/>
                <w:color w:val="000000" w:themeColor="text1"/>
              </w:rPr>
              <w:t xml:space="preserve">a description of process and </w:t>
            </w:r>
            <w:r w:rsidRPr="5FA9F001">
              <w:rPr>
                <w:rFonts w:ascii="Arial" w:hAnsi="Arial" w:cs="Arial"/>
                <w:color w:val="000000" w:themeColor="text1"/>
              </w:rPr>
              <w:t>an assurance that patients that are treated by specialty trainees, but not consented by them, are able to decline treatment by a trainee if they so wish</w:t>
            </w:r>
            <w:r w:rsidR="000C4BB5">
              <w:rPr>
                <w:rFonts w:ascii="Arial" w:hAnsi="Arial" w:cs="Arial"/>
                <w:color w:val="000000" w:themeColor="text1"/>
              </w:rPr>
              <w:t>.</w:t>
            </w:r>
            <w:r w:rsidR="00CA31E7" w:rsidRPr="5FA9F001">
              <w:rPr>
                <w:rFonts w:ascii="Arial" w:hAnsi="Arial" w:cs="Arial"/>
                <w:color w:val="000000" w:themeColor="text1"/>
              </w:rPr>
              <w:t xml:space="preserve"> </w:t>
            </w:r>
          </w:p>
        </w:tc>
        <w:tc>
          <w:tcPr>
            <w:tcW w:w="5670" w:type="dxa"/>
            <w:shd w:val="clear" w:color="auto" w:fill="FFFFFF" w:themeFill="background1"/>
          </w:tcPr>
          <w:p w14:paraId="01C97603" w14:textId="12FA6410" w:rsidR="0098457E" w:rsidRPr="00082F5C" w:rsidRDefault="00E87FC5" w:rsidP="00D6729D">
            <w:pPr>
              <w:contextualSpacing/>
              <w:rPr>
                <w:rFonts w:ascii="Arial" w:hAnsi="Arial" w:cs="Arial"/>
              </w:rPr>
            </w:pPr>
            <w:r>
              <w:rPr>
                <w:rFonts w:ascii="Arial" w:hAnsi="Arial" w:cs="Arial"/>
              </w:rPr>
              <w:t>We do not believe this is achievable or that any other region has been asked to do this. Our proposal is to undertake specialty patient feedback</w:t>
            </w:r>
            <w:r w:rsidR="00BE4AD0">
              <w:rPr>
                <w:rFonts w:ascii="Arial" w:hAnsi="Arial" w:cs="Arial"/>
              </w:rPr>
              <w:t xml:space="preserve"> survey</w:t>
            </w:r>
            <w:r w:rsidR="00596A70">
              <w:rPr>
                <w:rFonts w:ascii="Arial" w:hAnsi="Arial" w:cs="Arial"/>
              </w:rPr>
              <w:t xml:space="preserve">, </w:t>
            </w:r>
            <w:r w:rsidR="00596A70" w:rsidRPr="004C15A3">
              <w:rPr>
                <w:rFonts w:ascii="Arial" w:hAnsi="Arial" w:cs="Arial"/>
              </w:rPr>
              <w:t>which specifically asks patients whether the dentist introduced themselves by name and job title.</w:t>
            </w:r>
          </w:p>
        </w:tc>
        <w:tc>
          <w:tcPr>
            <w:tcW w:w="1701" w:type="dxa"/>
            <w:shd w:val="clear" w:color="auto" w:fill="FFFFFF" w:themeFill="background1"/>
          </w:tcPr>
          <w:p w14:paraId="28C0F715" w14:textId="6A27D560" w:rsidR="00AD05AA" w:rsidRPr="00AD05AA" w:rsidRDefault="00D8280A" w:rsidP="00D6729D">
            <w:pPr>
              <w:contextualSpacing/>
              <w:rPr>
                <w:rFonts w:ascii="Arial" w:hAnsi="Arial" w:cs="Arial"/>
              </w:rPr>
            </w:pPr>
            <w:r>
              <w:rPr>
                <w:rFonts w:ascii="Arial" w:hAnsi="Arial" w:cs="Arial"/>
              </w:rPr>
              <w:t>Q4 2022</w:t>
            </w:r>
          </w:p>
        </w:tc>
      </w:tr>
      <w:tr w:rsidR="00F44269" w14:paraId="451B0323" w14:textId="77777777" w:rsidTr="5FA9F001">
        <w:tc>
          <w:tcPr>
            <w:tcW w:w="1129" w:type="dxa"/>
            <w:shd w:val="clear" w:color="auto" w:fill="FFFFFF" w:themeFill="background1"/>
          </w:tcPr>
          <w:p w14:paraId="2E67DEE7" w14:textId="54F6C23E" w:rsidR="00F44269" w:rsidRDefault="00F523E0" w:rsidP="00D6729D">
            <w:pPr>
              <w:contextualSpacing/>
              <w:rPr>
                <w:rFonts w:ascii="Arial" w:hAnsi="Arial" w:cs="Arial"/>
              </w:rPr>
            </w:pPr>
            <w:r>
              <w:rPr>
                <w:rFonts w:ascii="Arial" w:hAnsi="Arial" w:cs="Arial"/>
              </w:rPr>
              <w:t>P5</w:t>
            </w:r>
          </w:p>
        </w:tc>
        <w:tc>
          <w:tcPr>
            <w:tcW w:w="5670" w:type="dxa"/>
            <w:shd w:val="clear" w:color="auto" w:fill="FFFFFF" w:themeFill="background1"/>
          </w:tcPr>
          <w:p w14:paraId="2A05D999" w14:textId="18903E4A" w:rsidR="00167614" w:rsidRPr="00FA6510" w:rsidRDefault="00F523E0" w:rsidP="00FA6510">
            <w:pPr>
              <w:pStyle w:val="ListParagraph"/>
              <w:numPr>
                <w:ilvl w:val="0"/>
                <w:numId w:val="15"/>
              </w:numPr>
              <w:spacing w:after="0" w:line="240" w:lineRule="auto"/>
              <w:rPr>
                <w:rFonts w:ascii="Arial" w:eastAsia="Calibri" w:hAnsi="Arial" w:cs="Arial"/>
                <w:bCs/>
                <w:iCs/>
                <w:color w:val="000000" w:themeColor="text1"/>
              </w:rPr>
            </w:pPr>
            <w:r w:rsidRPr="00FA6510">
              <w:rPr>
                <w:rFonts w:ascii="Arial" w:eastAsia="Calibri" w:hAnsi="Arial" w:cs="Arial"/>
                <w:bCs/>
                <w:iCs/>
                <w:color w:val="000000" w:themeColor="text1"/>
              </w:rPr>
              <w:t>Provide</w:t>
            </w:r>
            <w:r w:rsidR="003954B3">
              <w:rPr>
                <w:rFonts w:ascii="Arial" w:eastAsia="Calibri" w:hAnsi="Arial" w:cs="Arial"/>
                <w:bCs/>
                <w:iCs/>
                <w:color w:val="000000" w:themeColor="text1"/>
              </w:rPr>
              <w:t xml:space="preserve"> complete</w:t>
            </w:r>
            <w:r w:rsidRPr="00FA6510">
              <w:rPr>
                <w:rFonts w:ascii="Arial" w:eastAsia="Calibri" w:hAnsi="Arial" w:cs="Arial"/>
                <w:bCs/>
                <w:iCs/>
                <w:color w:val="000000" w:themeColor="text1"/>
              </w:rPr>
              <w:t xml:space="preserve"> records of training modules undertaken</w:t>
            </w:r>
            <w:r w:rsidR="00193C54" w:rsidRPr="00FA6510">
              <w:rPr>
                <w:rFonts w:ascii="Arial" w:eastAsia="Calibri" w:hAnsi="Arial" w:cs="Arial"/>
                <w:bCs/>
                <w:iCs/>
                <w:color w:val="000000" w:themeColor="text1"/>
              </w:rPr>
              <w:t xml:space="preserve">, </w:t>
            </w:r>
            <w:r w:rsidR="00222CF1" w:rsidRPr="00FA6510">
              <w:rPr>
                <w:rFonts w:ascii="Arial" w:eastAsia="Calibri" w:hAnsi="Arial" w:cs="Arial"/>
                <w:bCs/>
                <w:iCs/>
                <w:color w:val="000000" w:themeColor="text1"/>
              </w:rPr>
              <w:t>including</w:t>
            </w:r>
            <w:r w:rsidR="00193C54" w:rsidRPr="00FA6510">
              <w:rPr>
                <w:rFonts w:ascii="Arial" w:eastAsia="Calibri" w:hAnsi="Arial" w:cs="Arial"/>
                <w:bCs/>
                <w:iCs/>
                <w:color w:val="000000" w:themeColor="text1"/>
              </w:rPr>
              <w:t xml:space="preserve"> </w:t>
            </w:r>
            <w:r w:rsidRPr="00FA6510">
              <w:rPr>
                <w:rFonts w:ascii="Arial" w:eastAsia="Calibri" w:hAnsi="Arial" w:cs="Arial"/>
                <w:bCs/>
                <w:iCs/>
                <w:color w:val="000000" w:themeColor="text1"/>
              </w:rPr>
              <w:t>annual updates or Equality and Diversity training for TPD, ES and CS for both SW and TVW</w:t>
            </w:r>
            <w:r w:rsidR="000C4BB5">
              <w:rPr>
                <w:rFonts w:ascii="Arial" w:eastAsia="Calibri" w:hAnsi="Arial" w:cs="Arial"/>
                <w:bCs/>
                <w:iCs/>
                <w:color w:val="000000" w:themeColor="text1"/>
              </w:rPr>
              <w:t>.</w:t>
            </w:r>
          </w:p>
          <w:p w14:paraId="61DF0135" w14:textId="2CE82FD0" w:rsidR="009A61F3" w:rsidRPr="00FA6510" w:rsidRDefault="00865D76" w:rsidP="00FA6510">
            <w:pPr>
              <w:pStyle w:val="ListParagraph"/>
              <w:numPr>
                <w:ilvl w:val="0"/>
                <w:numId w:val="15"/>
              </w:numPr>
              <w:spacing w:after="0" w:line="240" w:lineRule="auto"/>
              <w:rPr>
                <w:rFonts w:ascii="Arial" w:eastAsia="Calibri" w:hAnsi="Arial" w:cs="Arial"/>
                <w:bCs/>
                <w:iCs/>
                <w:color w:val="000000" w:themeColor="text1"/>
              </w:rPr>
            </w:pPr>
            <w:r w:rsidRPr="00FA6510">
              <w:rPr>
                <w:rFonts w:ascii="Arial" w:eastAsia="Calibri" w:hAnsi="Arial" w:cs="Arial"/>
                <w:bCs/>
                <w:iCs/>
                <w:color w:val="000000" w:themeColor="text1"/>
              </w:rPr>
              <w:t xml:space="preserve">Provide evidence which demonstrates </w:t>
            </w:r>
            <w:r w:rsidR="005A74D0" w:rsidRPr="00FA6510">
              <w:rPr>
                <w:rFonts w:ascii="Arial" w:eastAsia="Calibri" w:hAnsi="Arial" w:cs="Arial"/>
                <w:bCs/>
                <w:iCs/>
                <w:color w:val="000000" w:themeColor="text1"/>
              </w:rPr>
              <w:t>h</w:t>
            </w:r>
            <w:r w:rsidR="009A61F3" w:rsidRPr="00FA6510">
              <w:rPr>
                <w:rFonts w:ascii="Arial" w:eastAsia="Calibri" w:hAnsi="Arial" w:cs="Arial"/>
                <w:bCs/>
                <w:iCs/>
                <w:color w:val="000000" w:themeColor="text1"/>
              </w:rPr>
              <w:t>ow issues relating to training not completed for a period of time</w:t>
            </w:r>
            <w:r w:rsidRPr="00FA6510">
              <w:rPr>
                <w:rFonts w:ascii="Arial" w:eastAsia="Calibri" w:hAnsi="Arial" w:cs="Arial"/>
                <w:bCs/>
                <w:iCs/>
                <w:color w:val="000000" w:themeColor="text1"/>
              </w:rPr>
              <w:t xml:space="preserve"> is dealt</w:t>
            </w:r>
            <w:r w:rsidR="009A61F3" w:rsidRPr="00FA6510">
              <w:rPr>
                <w:rFonts w:ascii="Arial" w:eastAsia="Calibri" w:hAnsi="Arial" w:cs="Arial"/>
                <w:bCs/>
                <w:iCs/>
                <w:color w:val="000000" w:themeColor="text1"/>
              </w:rPr>
              <w:t xml:space="preserve"> with, specifically in relation </w:t>
            </w:r>
            <w:r w:rsidR="002E3327" w:rsidRPr="00FA6510">
              <w:rPr>
                <w:rFonts w:ascii="Arial" w:eastAsia="Calibri" w:hAnsi="Arial" w:cs="Arial"/>
                <w:bCs/>
                <w:iCs/>
                <w:color w:val="000000" w:themeColor="text1"/>
              </w:rPr>
              <w:t>to</w:t>
            </w:r>
            <w:r w:rsidR="009A61F3" w:rsidRPr="00FA6510">
              <w:rPr>
                <w:rFonts w:ascii="Arial" w:eastAsia="Calibri" w:hAnsi="Arial" w:cs="Arial"/>
                <w:bCs/>
                <w:iCs/>
                <w:color w:val="000000" w:themeColor="text1"/>
              </w:rPr>
              <w:t xml:space="preserve"> the process for highlighting and addressing this.</w:t>
            </w:r>
          </w:p>
        </w:tc>
        <w:tc>
          <w:tcPr>
            <w:tcW w:w="5670" w:type="dxa"/>
            <w:shd w:val="clear" w:color="auto" w:fill="FFFFFF" w:themeFill="background1"/>
          </w:tcPr>
          <w:p w14:paraId="433E3E6C" w14:textId="77F1F6A6" w:rsidR="00F44269" w:rsidRPr="00082F5C" w:rsidRDefault="00BE4AD0" w:rsidP="00D6729D">
            <w:pPr>
              <w:contextualSpacing/>
              <w:rPr>
                <w:rFonts w:ascii="Arial" w:hAnsi="Arial" w:cs="Arial"/>
              </w:rPr>
            </w:pPr>
            <w:r>
              <w:rPr>
                <w:rFonts w:ascii="Arial" w:hAnsi="Arial" w:cs="Arial"/>
              </w:rPr>
              <w:t>We now have evidence of this</w:t>
            </w:r>
            <w:r w:rsidR="00037AC5">
              <w:rPr>
                <w:rFonts w:ascii="Arial" w:hAnsi="Arial" w:cs="Arial"/>
              </w:rPr>
              <w:t xml:space="preserve"> and can submit</w:t>
            </w:r>
            <w:r w:rsidR="000C4BB5">
              <w:rPr>
                <w:rFonts w:ascii="Arial" w:hAnsi="Arial" w:cs="Arial"/>
              </w:rPr>
              <w:t>.</w:t>
            </w:r>
          </w:p>
        </w:tc>
        <w:tc>
          <w:tcPr>
            <w:tcW w:w="1701" w:type="dxa"/>
            <w:shd w:val="clear" w:color="auto" w:fill="FFFFFF" w:themeFill="background1"/>
          </w:tcPr>
          <w:p w14:paraId="45ED8BDA" w14:textId="4200EF18" w:rsidR="00BF6F55" w:rsidRDefault="00D8280A" w:rsidP="00D6729D">
            <w:pPr>
              <w:contextualSpacing/>
              <w:rPr>
                <w:rFonts w:ascii="Arial" w:hAnsi="Arial" w:cs="Arial"/>
              </w:rPr>
            </w:pPr>
            <w:r>
              <w:rPr>
                <w:rFonts w:ascii="Arial" w:hAnsi="Arial" w:cs="Arial"/>
              </w:rPr>
              <w:t>Q4 2022</w:t>
            </w:r>
          </w:p>
        </w:tc>
      </w:tr>
      <w:tr w:rsidR="00425416" w14:paraId="600E9D11" w14:textId="77777777" w:rsidTr="5FA9F001">
        <w:tc>
          <w:tcPr>
            <w:tcW w:w="1129" w:type="dxa"/>
            <w:shd w:val="clear" w:color="auto" w:fill="FFFFFF" w:themeFill="background1"/>
          </w:tcPr>
          <w:p w14:paraId="014E2DB8" w14:textId="02E11158" w:rsidR="00425416" w:rsidRDefault="00425416" w:rsidP="00D6729D">
            <w:pPr>
              <w:contextualSpacing/>
              <w:rPr>
                <w:rFonts w:ascii="Arial" w:hAnsi="Arial" w:cs="Arial"/>
              </w:rPr>
            </w:pPr>
            <w:r>
              <w:rPr>
                <w:rFonts w:ascii="Arial" w:hAnsi="Arial" w:cs="Arial"/>
              </w:rPr>
              <w:t>P18</w:t>
            </w:r>
          </w:p>
        </w:tc>
        <w:tc>
          <w:tcPr>
            <w:tcW w:w="5670" w:type="dxa"/>
            <w:shd w:val="clear" w:color="auto" w:fill="FFFFFF" w:themeFill="background1"/>
          </w:tcPr>
          <w:p w14:paraId="2BE8BD5B" w14:textId="2D3B61A0" w:rsidR="00FB5B36" w:rsidRPr="00FA6510" w:rsidRDefault="00970F9F" w:rsidP="00371D6E">
            <w:pPr>
              <w:pStyle w:val="ListParagraph"/>
              <w:numPr>
                <w:ilvl w:val="0"/>
                <w:numId w:val="15"/>
              </w:numPr>
              <w:spacing w:after="0" w:line="240" w:lineRule="auto"/>
              <w:rPr>
                <w:rFonts w:ascii="Arial" w:eastAsia="Calibri" w:hAnsi="Arial" w:cs="Arial"/>
                <w:bCs/>
                <w:iCs/>
                <w:color w:val="000000" w:themeColor="text1"/>
              </w:rPr>
            </w:pPr>
            <w:r w:rsidRPr="00FA6510">
              <w:rPr>
                <w:rFonts w:ascii="Arial" w:eastAsia="Calibri" w:hAnsi="Arial" w:cs="Arial"/>
                <w:bCs/>
                <w:iCs/>
                <w:color w:val="000000" w:themeColor="text1"/>
              </w:rPr>
              <w:t>Provide</w:t>
            </w:r>
            <w:r w:rsidR="00FB5B36" w:rsidRPr="00FA6510">
              <w:rPr>
                <w:rFonts w:ascii="Arial" w:eastAsia="Calibri" w:hAnsi="Arial" w:cs="Arial"/>
                <w:bCs/>
                <w:iCs/>
                <w:color w:val="000000" w:themeColor="text1"/>
              </w:rPr>
              <w:t xml:space="preserve"> evidence of all assessors</w:t>
            </w:r>
            <w:r w:rsidR="00BE4DE3">
              <w:rPr>
                <w:rFonts w:ascii="Arial" w:eastAsia="Calibri" w:hAnsi="Arial" w:cs="Arial"/>
                <w:bCs/>
                <w:iCs/>
                <w:color w:val="000000" w:themeColor="text1"/>
              </w:rPr>
              <w:t>’</w:t>
            </w:r>
            <w:r w:rsidR="00FB5B36" w:rsidRPr="00FA6510">
              <w:rPr>
                <w:rFonts w:ascii="Arial" w:eastAsia="Calibri" w:hAnsi="Arial" w:cs="Arial"/>
                <w:bCs/>
                <w:iCs/>
                <w:color w:val="000000" w:themeColor="text1"/>
              </w:rPr>
              <w:t xml:space="preserve"> </w:t>
            </w:r>
            <w:r w:rsidRPr="00FA6510">
              <w:rPr>
                <w:rFonts w:ascii="Arial" w:eastAsia="Calibri" w:hAnsi="Arial" w:cs="Arial"/>
                <w:bCs/>
                <w:iCs/>
                <w:color w:val="000000" w:themeColor="text1"/>
              </w:rPr>
              <w:t xml:space="preserve">records </w:t>
            </w:r>
            <w:r w:rsidR="00FB5B36" w:rsidRPr="00FA6510">
              <w:rPr>
                <w:rFonts w:ascii="Arial" w:eastAsia="Calibri" w:hAnsi="Arial" w:cs="Arial"/>
                <w:bCs/>
                <w:iCs/>
                <w:color w:val="000000" w:themeColor="text1"/>
              </w:rPr>
              <w:t>for both HEE SW and TVW setting out:</w:t>
            </w:r>
          </w:p>
          <w:p w14:paraId="3CD4CB84" w14:textId="41CC7A01" w:rsidR="00D8280A" w:rsidRPr="00FA6510" w:rsidRDefault="00970F9F" w:rsidP="00FA6510">
            <w:pPr>
              <w:pStyle w:val="ListParagraph"/>
              <w:spacing w:after="0" w:line="240" w:lineRule="auto"/>
              <w:rPr>
                <w:rFonts w:ascii="Arial" w:eastAsia="Calibri" w:hAnsi="Arial" w:cs="Arial"/>
                <w:bCs/>
                <w:iCs/>
                <w:color w:val="000000" w:themeColor="text1"/>
              </w:rPr>
            </w:pPr>
            <w:r w:rsidRPr="00FA6510">
              <w:rPr>
                <w:rFonts w:ascii="Arial" w:eastAsia="Calibri" w:hAnsi="Arial" w:cs="Arial"/>
                <w:bCs/>
                <w:iCs/>
                <w:color w:val="000000" w:themeColor="text1"/>
              </w:rPr>
              <w:t>-</w:t>
            </w:r>
            <w:r w:rsidR="000C4BB5">
              <w:rPr>
                <w:rFonts w:ascii="Arial" w:eastAsia="Calibri" w:hAnsi="Arial" w:cs="Arial"/>
                <w:bCs/>
                <w:iCs/>
                <w:color w:val="000000" w:themeColor="text1"/>
              </w:rPr>
              <w:t>t</w:t>
            </w:r>
            <w:r w:rsidR="00FB5B36" w:rsidRPr="00FA6510">
              <w:rPr>
                <w:rFonts w:ascii="Arial" w:eastAsia="Calibri" w:hAnsi="Arial" w:cs="Arial"/>
                <w:bCs/>
                <w:iCs/>
                <w:color w:val="000000" w:themeColor="text1"/>
              </w:rPr>
              <w:t xml:space="preserve">heir </w:t>
            </w:r>
            <w:r w:rsidR="00D8280A" w:rsidRPr="00FA6510">
              <w:rPr>
                <w:rFonts w:ascii="Arial" w:eastAsia="Calibri" w:hAnsi="Arial" w:cs="Arial"/>
                <w:bCs/>
                <w:iCs/>
                <w:color w:val="000000" w:themeColor="text1"/>
              </w:rPr>
              <w:t>Specialty</w:t>
            </w:r>
          </w:p>
          <w:p w14:paraId="20625779" w14:textId="04068B13" w:rsidR="00D8280A" w:rsidRPr="00FA6510" w:rsidRDefault="00970F9F" w:rsidP="00FA6510">
            <w:pPr>
              <w:pStyle w:val="ListParagraph"/>
              <w:spacing w:after="0" w:line="240" w:lineRule="auto"/>
              <w:rPr>
                <w:rFonts w:ascii="Arial" w:eastAsia="Calibri" w:hAnsi="Arial" w:cs="Arial"/>
                <w:bCs/>
                <w:iCs/>
                <w:color w:val="000000" w:themeColor="text1"/>
              </w:rPr>
            </w:pPr>
            <w:r w:rsidRPr="00FA6510">
              <w:rPr>
                <w:rFonts w:ascii="Arial" w:eastAsia="Calibri" w:hAnsi="Arial" w:cs="Arial"/>
                <w:bCs/>
                <w:iCs/>
                <w:color w:val="000000" w:themeColor="text1"/>
              </w:rPr>
              <w:t>-</w:t>
            </w:r>
            <w:r w:rsidR="000C4BB5">
              <w:rPr>
                <w:rFonts w:ascii="Arial" w:eastAsia="Calibri" w:hAnsi="Arial" w:cs="Arial"/>
                <w:bCs/>
                <w:iCs/>
                <w:color w:val="000000" w:themeColor="text1"/>
              </w:rPr>
              <w:t>l</w:t>
            </w:r>
            <w:r w:rsidR="00FB5B36" w:rsidRPr="00FA6510">
              <w:rPr>
                <w:rFonts w:ascii="Arial" w:eastAsia="Calibri" w:hAnsi="Arial" w:cs="Arial"/>
                <w:bCs/>
                <w:iCs/>
                <w:color w:val="000000" w:themeColor="text1"/>
              </w:rPr>
              <w:t>ength of experience</w:t>
            </w:r>
          </w:p>
          <w:p w14:paraId="79A520E4" w14:textId="738A400B" w:rsidR="00D8280A" w:rsidRPr="00FA6510" w:rsidRDefault="00970F9F" w:rsidP="00FA6510">
            <w:pPr>
              <w:pStyle w:val="ListParagraph"/>
              <w:spacing w:after="0" w:line="240" w:lineRule="auto"/>
              <w:rPr>
                <w:rFonts w:ascii="Arial" w:eastAsia="Calibri" w:hAnsi="Arial" w:cs="Arial"/>
                <w:bCs/>
                <w:iCs/>
                <w:color w:val="000000" w:themeColor="text1"/>
              </w:rPr>
            </w:pPr>
            <w:r w:rsidRPr="00FA6510">
              <w:rPr>
                <w:rFonts w:ascii="Arial" w:eastAsia="Calibri" w:hAnsi="Arial" w:cs="Arial"/>
                <w:bCs/>
                <w:iCs/>
                <w:color w:val="000000" w:themeColor="text1"/>
              </w:rPr>
              <w:t>-</w:t>
            </w:r>
            <w:r w:rsidR="000C4BB5">
              <w:rPr>
                <w:rFonts w:ascii="Arial" w:eastAsia="Calibri" w:hAnsi="Arial" w:cs="Arial"/>
                <w:bCs/>
                <w:iCs/>
                <w:color w:val="000000" w:themeColor="text1"/>
              </w:rPr>
              <w:t>t</w:t>
            </w:r>
            <w:r w:rsidR="00FB5B36" w:rsidRPr="00FA6510">
              <w:rPr>
                <w:rFonts w:ascii="Arial" w:eastAsia="Calibri" w:hAnsi="Arial" w:cs="Arial"/>
                <w:bCs/>
                <w:iCs/>
                <w:color w:val="000000" w:themeColor="text1"/>
              </w:rPr>
              <w:t>raining records including what training was completed in relation to the new training modules and when they were completed</w:t>
            </w:r>
          </w:p>
          <w:p w14:paraId="2F3CAE62" w14:textId="7DEEC18E" w:rsidR="00425416" w:rsidRPr="00FA6510" w:rsidRDefault="00970F9F" w:rsidP="00FA6510">
            <w:pPr>
              <w:pStyle w:val="ListParagraph"/>
              <w:spacing w:after="0" w:line="240" w:lineRule="auto"/>
              <w:rPr>
                <w:rFonts w:ascii="Arial" w:eastAsia="Calibri" w:hAnsi="Arial" w:cs="Arial"/>
                <w:bCs/>
                <w:iCs/>
                <w:color w:val="000000" w:themeColor="text1"/>
              </w:rPr>
            </w:pPr>
            <w:r w:rsidRPr="00FA6510">
              <w:rPr>
                <w:rFonts w:ascii="Arial" w:eastAsia="Calibri" w:hAnsi="Arial" w:cs="Arial"/>
                <w:bCs/>
                <w:iCs/>
                <w:color w:val="000000" w:themeColor="text1"/>
              </w:rPr>
              <w:t>-</w:t>
            </w:r>
            <w:r w:rsidR="000C4BB5">
              <w:rPr>
                <w:rFonts w:ascii="Arial" w:eastAsia="Calibri" w:hAnsi="Arial" w:cs="Arial"/>
                <w:bCs/>
                <w:iCs/>
                <w:color w:val="000000" w:themeColor="text1"/>
              </w:rPr>
              <w:t>d</w:t>
            </w:r>
            <w:r w:rsidR="00FB5B36" w:rsidRPr="00FA6510">
              <w:rPr>
                <w:rFonts w:ascii="Arial" w:eastAsia="Calibri" w:hAnsi="Arial" w:cs="Arial"/>
                <w:bCs/>
                <w:iCs/>
                <w:color w:val="000000" w:themeColor="text1"/>
              </w:rPr>
              <w:t>ate of renewal of registration with GDC/GMC</w:t>
            </w:r>
            <w:r w:rsidR="000C4BB5">
              <w:rPr>
                <w:rFonts w:ascii="Arial" w:eastAsia="Calibri" w:hAnsi="Arial" w:cs="Arial"/>
                <w:bCs/>
                <w:iCs/>
                <w:color w:val="000000" w:themeColor="text1"/>
              </w:rPr>
              <w:t>.</w:t>
            </w:r>
          </w:p>
        </w:tc>
        <w:tc>
          <w:tcPr>
            <w:tcW w:w="5670" w:type="dxa"/>
            <w:shd w:val="clear" w:color="auto" w:fill="FFFFFF" w:themeFill="background1"/>
          </w:tcPr>
          <w:p w14:paraId="45FAA478" w14:textId="70B24A5D" w:rsidR="00425416" w:rsidRPr="00082F5C" w:rsidRDefault="00037AC5" w:rsidP="00D6729D">
            <w:pPr>
              <w:contextualSpacing/>
              <w:rPr>
                <w:rFonts w:ascii="Arial" w:hAnsi="Arial" w:cs="Arial"/>
              </w:rPr>
            </w:pPr>
            <w:r>
              <w:rPr>
                <w:rFonts w:ascii="Arial" w:hAnsi="Arial" w:cs="Arial"/>
              </w:rPr>
              <w:t>See above</w:t>
            </w:r>
            <w:r w:rsidR="000C4BB5">
              <w:rPr>
                <w:rFonts w:ascii="Arial" w:hAnsi="Arial" w:cs="Arial"/>
              </w:rPr>
              <w:t>.</w:t>
            </w:r>
          </w:p>
        </w:tc>
        <w:tc>
          <w:tcPr>
            <w:tcW w:w="1701" w:type="dxa"/>
            <w:shd w:val="clear" w:color="auto" w:fill="FFFFFF" w:themeFill="background1"/>
          </w:tcPr>
          <w:p w14:paraId="3B845DC8" w14:textId="2032158D" w:rsidR="00425416" w:rsidRDefault="00D8280A" w:rsidP="00D6729D">
            <w:pPr>
              <w:contextualSpacing/>
              <w:rPr>
                <w:rFonts w:ascii="Arial" w:hAnsi="Arial" w:cs="Arial"/>
              </w:rPr>
            </w:pPr>
            <w:r>
              <w:rPr>
                <w:rFonts w:ascii="Arial" w:hAnsi="Arial" w:cs="Arial"/>
              </w:rPr>
              <w:t>Q4 2022</w:t>
            </w:r>
          </w:p>
        </w:tc>
      </w:tr>
    </w:tbl>
    <w:p w14:paraId="62C440E6" w14:textId="77777777" w:rsidR="00CC0C8C" w:rsidRDefault="00CC0C8C" w:rsidP="00D6729D">
      <w:pPr>
        <w:spacing w:line="240" w:lineRule="auto"/>
        <w:contextualSpacing/>
        <w:rPr>
          <w:rFonts w:ascii="Arial" w:hAnsi="Arial" w:cs="Arial"/>
          <w:b/>
          <w:color w:val="244061"/>
          <w:sz w:val="28"/>
          <w:szCs w:val="28"/>
        </w:rPr>
      </w:pPr>
    </w:p>
    <w:p w14:paraId="7947C093" w14:textId="77777777" w:rsidR="00970F9F" w:rsidRDefault="00970F9F" w:rsidP="00D6729D">
      <w:pPr>
        <w:spacing w:line="240" w:lineRule="auto"/>
        <w:contextualSpacing/>
        <w:rPr>
          <w:rFonts w:ascii="Arial" w:hAnsi="Arial" w:cs="Arial"/>
          <w:b/>
          <w:color w:val="244061"/>
          <w:sz w:val="28"/>
          <w:szCs w:val="28"/>
        </w:rPr>
      </w:pPr>
    </w:p>
    <w:p w14:paraId="2D02C2CD" w14:textId="77777777" w:rsidR="00FA6510" w:rsidRDefault="00FA6510" w:rsidP="00D6729D">
      <w:pPr>
        <w:spacing w:line="240" w:lineRule="auto"/>
        <w:contextualSpacing/>
        <w:rPr>
          <w:rFonts w:ascii="Arial" w:hAnsi="Arial" w:cs="Arial"/>
          <w:b/>
          <w:color w:val="244061"/>
          <w:sz w:val="28"/>
          <w:szCs w:val="28"/>
        </w:rPr>
      </w:pPr>
    </w:p>
    <w:p w14:paraId="0621AD53" w14:textId="77777777" w:rsidR="00BE4DE3" w:rsidRDefault="00BE4DE3" w:rsidP="00D6729D">
      <w:pPr>
        <w:spacing w:line="240" w:lineRule="auto"/>
        <w:contextualSpacing/>
        <w:rPr>
          <w:rFonts w:ascii="Arial" w:hAnsi="Arial" w:cs="Arial"/>
          <w:b/>
          <w:color w:val="244061"/>
          <w:sz w:val="28"/>
          <w:szCs w:val="28"/>
        </w:rPr>
      </w:pPr>
    </w:p>
    <w:p w14:paraId="4A070067" w14:textId="77777777" w:rsidR="003954B3" w:rsidRDefault="003954B3" w:rsidP="00D6729D">
      <w:pPr>
        <w:spacing w:line="240" w:lineRule="auto"/>
        <w:contextualSpacing/>
        <w:rPr>
          <w:rFonts w:ascii="Arial" w:hAnsi="Arial" w:cs="Arial"/>
          <w:b/>
          <w:color w:val="244061"/>
          <w:sz w:val="28"/>
          <w:szCs w:val="28"/>
        </w:rPr>
      </w:pPr>
    </w:p>
    <w:p w14:paraId="70286C5D" w14:textId="77777777" w:rsidR="003954B3" w:rsidRDefault="003954B3" w:rsidP="00D6729D">
      <w:pPr>
        <w:spacing w:line="240" w:lineRule="auto"/>
        <w:contextualSpacing/>
        <w:rPr>
          <w:rFonts w:ascii="Arial" w:hAnsi="Arial" w:cs="Arial"/>
          <w:b/>
          <w:color w:val="244061"/>
          <w:sz w:val="28"/>
          <w:szCs w:val="28"/>
        </w:rPr>
      </w:pPr>
    </w:p>
    <w:p w14:paraId="6D3C4E1C" w14:textId="77777777" w:rsidR="003954B3" w:rsidRDefault="003954B3" w:rsidP="00D6729D">
      <w:pPr>
        <w:spacing w:line="240" w:lineRule="auto"/>
        <w:contextualSpacing/>
        <w:rPr>
          <w:rFonts w:ascii="Arial" w:hAnsi="Arial" w:cs="Arial"/>
          <w:b/>
          <w:color w:val="244061"/>
          <w:sz w:val="28"/>
          <w:szCs w:val="28"/>
        </w:rPr>
      </w:pPr>
    </w:p>
    <w:p w14:paraId="1A2EC60F" w14:textId="59D220AC" w:rsidR="0075694B" w:rsidRDefault="0075694B" w:rsidP="00D6729D">
      <w:pPr>
        <w:spacing w:line="240" w:lineRule="auto"/>
        <w:contextualSpacing/>
        <w:rPr>
          <w:rFonts w:ascii="Arial" w:hAnsi="Arial" w:cs="Arial"/>
          <w:b/>
          <w:color w:val="244061"/>
          <w:sz w:val="28"/>
          <w:szCs w:val="28"/>
        </w:rPr>
      </w:pPr>
      <w:r w:rsidRPr="00A716CB">
        <w:rPr>
          <w:rFonts w:ascii="Arial" w:hAnsi="Arial" w:cs="Arial"/>
          <w:b/>
          <w:color w:val="244061"/>
          <w:sz w:val="28"/>
          <w:szCs w:val="28"/>
        </w:rPr>
        <w:lastRenderedPageBreak/>
        <w:t xml:space="preserve">Observations from the provider on content of report </w:t>
      </w:r>
    </w:p>
    <w:p w14:paraId="318037AA" w14:textId="77777777" w:rsidR="00CC0C8C" w:rsidRPr="00A716CB" w:rsidRDefault="00CC0C8C" w:rsidP="00D6729D">
      <w:pPr>
        <w:spacing w:line="240" w:lineRule="auto"/>
        <w:contextualSpacing/>
        <w:rPr>
          <w:rFonts w:ascii="Arial" w:hAnsi="Arial" w:cs="Arial"/>
          <w:b/>
          <w:color w:val="244061"/>
          <w:sz w:val="28"/>
          <w:szCs w:val="28"/>
        </w:rPr>
      </w:pPr>
    </w:p>
    <w:tbl>
      <w:tblPr>
        <w:tblStyle w:val="TableGrid"/>
        <w:tblW w:w="0" w:type="auto"/>
        <w:tblInd w:w="-5" w:type="dxa"/>
        <w:tblLook w:val="04A0" w:firstRow="1" w:lastRow="0" w:firstColumn="1" w:lastColumn="0" w:noHBand="0" w:noVBand="1"/>
      </w:tblPr>
      <w:tblGrid>
        <w:gridCol w:w="13953"/>
      </w:tblGrid>
      <w:tr w:rsidR="0075694B" w14:paraId="665FDB42" w14:textId="77777777" w:rsidTr="00BA0A18">
        <w:tc>
          <w:tcPr>
            <w:tcW w:w="13953" w:type="dxa"/>
          </w:tcPr>
          <w:p w14:paraId="0E5A90EE" w14:textId="26BAFD99" w:rsidR="0075694B" w:rsidRPr="00222CF1" w:rsidRDefault="00222CF1" w:rsidP="00D6729D">
            <w:pPr>
              <w:contextualSpacing/>
              <w:rPr>
                <w:rFonts w:ascii="Arial" w:hAnsi="Arial" w:cs="Arial"/>
                <w:b/>
                <w:color w:val="000000" w:themeColor="text1"/>
              </w:rPr>
            </w:pPr>
            <w:r w:rsidRPr="00222CF1">
              <w:rPr>
                <w:rFonts w:ascii="Arial" w:hAnsi="Arial" w:cs="Arial"/>
                <w:b/>
                <w:color w:val="000000" w:themeColor="text1"/>
              </w:rPr>
              <w:t>In response to Action P2:</w:t>
            </w:r>
          </w:p>
          <w:p w14:paraId="6E9FA88D" w14:textId="77777777" w:rsidR="00222CF1" w:rsidRPr="00222CF1" w:rsidRDefault="00222CF1" w:rsidP="00D6729D">
            <w:pPr>
              <w:contextualSpacing/>
              <w:rPr>
                <w:rFonts w:ascii="Arial" w:hAnsi="Arial" w:cs="Arial"/>
                <w:b/>
                <w:color w:val="000000" w:themeColor="text1"/>
              </w:rPr>
            </w:pPr>
          </w:p>
          <w:p w14:paraId="4A193657" w14:textId="32BEE13F" w:rsidR="00AD05AA" w:rsidRPr="00222CF1" w:rsidRDefault="00222CF1" w:rsidP="00D6729D">
            <w:pPr>
              <w:contextualSpacing/>
              <w:rPr>
                <w:rFonts w:ascii="Arial" w:hAnsi="Arial" w:cs="Arial"/>
                <w:color w:val="000000" w:themeColor="text1"/>
              </w:rPr>
            </w:pPr>
            <w:r w:rsidRPr="00222CF1">
              <w:rPr>
                <w:rFonts w:ascii="Arial" w:hAnsi="Arial" w:cs="Arial"/>
                <w:color w:val="000000" w:themeColor="text1"/>
              </w:rPr>
              <w:t>We do not believe this is achievable or that any other region has been asked to do this.  Our proposal is to undertake specialty patient feedback survey, which specifically asks patients whether the dentist introduced themselves by name and job title.</w:t>
            </w:r>
          </w:p>
          <w:p w14:paraId="5FD3FD9C" w14:textId="217F94A3" w:rsidR="00222CF1" w:rsidRPr="00222CF1" w:rsidRDefault="00222CF1" w:rsidP="00D6729D">
            <w:pPr>
              <w:contextualSpacing/>
              <w:rPr>
                <w:rFonts w:ascii="Arial" w:hAnsi="Arial" w:cs="Arial"/>
                <w:color w:val="000000" w:themeColor="text1"/>
              </w:rPr>
            </w:pPr>
          </w:p>
          <w:p w14:paraId="044E9222" w14:textId="77777777" w:rsidR="00222CF1" w:rsidRPr="00222CF1" w:rsidRDefault="00222CF1" w:rsidP="00222CF1">
            <w:pPr>
              <w:contextualSpacing/>
              <w:rPr>
                <w:rFonts w:ascii="Arial" w:hAnsi="Arial" w:cs="Arial"/>
                <w:b/>
                <w:color w:val="000000" w:themeColor="text1"/>
              </w:rPr>
            </w:pPr>
            <w:r w:rsidRPr="00222CF1">
              <w:rPr>
                <w:rFonts w:ascii="Arial" w:hAnsi="Arial" w:cs="Arial"/>
                <w:b/>
                <w:color w:val="000000" w:themeColor="text1"/>
              </w:rPr>
              <w:t>In response to Action P2:</w:t>
            </w:r>
          </w:p>
          <w:p w14:paraId="3675E4EB" w14:textId="67E8764C" w:rsidR="00222CF1" w:rsidRPr="00222CF1" w:rsidRDefault="00222CF1" w:rsidP="00D6729D">
            <w:pPr>
              <w:contextualSpacing/>
              <w:rPr>
                <w:rFonts w:ascii="Arial" w:hAnsi="Arial" w:cs="Arial"/>
                <w:b/>
                <w:color w:val="000000" w:themeColor="text1"/>
              </w:rPr>
            </w:pPr>
          </w:p>
          <w:p w14:paraId="5C0F3C57" w14:textId="1330D1FA" w:rsidR="00222CF1" w:rsidRPr="00222CF1" w:rsidRDefault="00222CF1" w:rsidP="00D6729D">
            <w:pPr>
              <w:contextualSpacing/>
              <w:rPr>
                <w:rFonts w:ascii="Arial" w:hAnsi="Arial" w:cs="Arial"/>
                <w:b/>
                <w:color w:val="000000" w:themeColor="text1"/>
              </w:rPr>
            </w:pPr>
            <w:r w:rsidRPr="00222CF1">
              <w:rPr>
                <w:rFonts w:ascii="Arial" w:hAnsi="Arial" w:cs="Arial"/>
                <w:color w:val="000000" w:themeColor="text1"/>
              </w:rPr>
              <w:t>We now have evidence of this and can submit</w:t>
            </w:r>
            <w:r w:rsidR="00CA5E44">
              <w:rPr>
                <w:rFonts w:ascii="Arial" w:hAnsi="Arial" w:cs="Arial"/>
                <w:color w:val="000000" w:themeColor="text1"/>
              </w:rPr>
              <w:t>.</w:t>
            </w:r>
          </w:p>
          <w:p w14:paraId="303F1771" w14:textId="15A944DD" w:rsidR="00222CF1" w:rsidRPr="00222CF1" w:rsidRDefault="00222CF1" w:rsidP="00D6729D">
            <w:pPr>
              <w:contextualSpacing/>
              <w:rPr>
                <w:rFonts w:ascii="Arial" w:hAnsi="Arial" w:cs="Arial"/>
                <w:b/>
                <w:color w:val="000000" w:themeColor="text1"/>
              </w:rPr>
            </w:pPr>
          </w:p>
          <w:p w14:paraId="75A26E70" w14:textId="77777777" w:rsidR="00222CF1" w:rsidRPr="00222CF1" w:rsidRDefault="00222CF1" w:rsidP="00222CF1">
            <w:pPr>
              <w:contextualSpacing/>
              <w:rPr>
                <w:rFonts w:ascii="Arial" w:hAnsi="Arial" w:cs="Arial"/>
                <w:b/>
                <w:color w:val="000000" w:themeColor="text1"/>
              </w:rPr>
            </w:pPr>
            <w:r w:rsidRPr="00222CF1">
              <w:rPr>
                <w:rFonts w:ascii="Arial" w:hAnsi="Arial" w:cs="Arial"/>
                <w:b/>
                <w:color w:val="000000" w:themeColor="text1"/>
              </w:rPr>
              <w:t>In response to Action P2:</w:t>
            </w:r>
          </w:p>
          <w:p w14:paraId="19C39D11" w14:textId="74249F2D" w:rsidR="00222CF1" w:rsidRPr="00222CF1" w:rsidRDefault="00222CF1" w:rsidP="00D6729D">
            <w:pPr>
              <w:contextualSpacing/>
              <w:rPr>
                <w:rFonts w:ascii="Arial" w:hAnsi="Arial" w:cs="Arial"/>
                <w:b/>
                <w:color w:val="000000" w:themeColor="text1"/>
              </w:rPr>
            </w:pPr>
          </w:p>
          <w:p w14:paraId="641B98D9" w14:textId="52F42741" w:rsidR="00222CF1" w:rsidRPr="00222CF1" w:rsidRDefault="00222CF1" w:rsidP="00D6729D">
            <w:pPr>
              <w:contextualSpacing/>
              <w:rPr>
                <w:rFonts w:ascii="Arial" w:hAnsi="Arial" w:cs="Arial"/>
                <w:bCs/>
                <w:color w:val="000000" w:themeColor="text1"/>
              </w:rPr>
            </w:pPr>
            <w:r w:rsidRPr="00222CF1">
              <w:rPr>
                <w:rFonts w:ascii="Arial" w:hAnsi="Arial" w:cs="Arial"/>
                <w:bCs/>
                <w:color w:val="000000" w:themeColor="text1"/>
              </w:rPr>
              <w:t>See above</w:t>
            </w:r>
            <w:r w:rsidR="00CA5E44">
              <w:rPr>
                <w:rFonts w:ascii="Arial" w:hAnsi="Arial" w:cs="Arial"/>
                <w:bCs/>
                <w:color w:val="000000" w:themeColor="text1"/>
              </w:rPr>
              <w:t>.</w:t>
            </w:r>
            <w:r w:rsidRPr="00222CF1">
              <w:rPr>
                <w:rFonts w:ascii="Arial" w:hAnsi="Arial" w:cs="Arial"/>
                <w:bCs/>
                <w:color w:val="000000" w:themeColor="text1"/>
              </w:rPr>
              <w:t xml:space="preserve"> </w:t>
            </w:r>
          </w:p>
          <w:p w14:paraId="7A5D3FA7" w14:textId="1FA2F838" w:rsidR="00AD05AA" w:rsidRPr="006F52CA" w:rsidRDefault="00AD05AA" w:rsidP="00D6729D">
            <w:pPr>
              <w:contextualSpacing/>
              <w:rPr>
                <w:rFonts w:ascii="Arial" w:hAnsi="Arial" w:cs="Arial"/>
                <w:b/>
                <w:color w:val="365F91"/>
              </w:rPr>
            </w:pPr>
          </w:p>
        </w:tc>
      </w:tr>
    </w:tbl>
    <w:p w14:paraId="066B5AE8" w14:textId="77777777" w:rsidR="00DA6B7C" w:rsidRDefault="00DA6B7C" w:rsidP="00D6729D">
      <w:pPr>
        <w:spacing w:line="240" w:lineRule="auto"/>
        <w:contextualSpacing/>
        <w:rPr>
          <w:rFonts w:ascii="Arial" w:hAnsi="Arial" w:cs="Arial"/>
          <w:b/>
          <w:color w:val="1F3864" w:themeColor="accent1" w:themeShade="80"/>
          <w:sz w:val="28"/>
        </w:rPr>
      </w:pPr>
    </w:p>
    <w:p w14:paraId="296A483B" w14:textId="77777777" w:rsidR="00121834" w:rsidRDefault="00121834" w:rsidP="00D6729D">
      <w:pPr>
        <w:spacing w:line="240" w:lineRule="auto"/>
        <w:contextualSpacing/>
        <w:rPr>
          <w:b/>
          <w:bCs/>
          <w:sz w:val="28"/>
          <w:szCs w:val="28"/>
        </w:rPr>
        <w:sectPr w:rsidR="00121834" w:rsidSect="00A062C8">
          <w:pgSz w:w="16838" w:h="11906" w:orient="landscape"/>
          <w:pgMar w:top="1440" w:right="1440" w:bottom="1440" w:left="1440" w:header="709" w:footer="709" w:gutter="0"/>
          <w:cols w:space="708"/>
          <w:docGrid w:linePitch="360"/>
        </w:sectPr>
      </w:pPr>
    </w:p>
    <w:p w14:paraId="3993BDCD" w14:textId="2D899316" w:rsidR="00CC0C8C" w:rsidRPr="00CC0C8C" w:rsidRDefault="00CC0C8C" w:rsidP="00CC0C8C">
      <w:pPr>
        <w:rPr>
          <w:rFonts w:ascii="Arial" w:hAnsi="Arial" w:cs="Arial"/>
          <w:b/>
          <w:color w:val="1F3864" w:themeColor="accent1" w:themeShade="80"/>
          <w:sz w:val="28"/>
          <w:szCs w:val="28"/>
        </w:rPr>
      </w:pPr>
      <w:r w:rsidRPr="00CC0C8C">
        <w:rPr>
          <w:rFonts w:ascii="Arial" w:hAnsi="Arial" w:cs="Arial"/>
          <w:b/>
          <w:bCs/>
          <w:color w:val="1F3864" w:themeColor="accent1" w:themeShade="80"/>
          <w:sz w:val="28"/>
          <w:szCs w:val="28"/>
        </w:rPr>
        <w:lastRenderedPageBreak/>
        <w:t>Annex 1</w:t>
      </w:r>
      <w:r>
        <w:rPr>
          <w:rFonts w:ascii="Arial" w:hAnsi="Arial" w:cs="Arial"/>
          <w:b/>
          <w:bCs/>
          <w:color w:val="1F3864" w:themeColor="accent1" w:themeShade="80"/>
          <w:sz w:val="28"/>
          <w:szCs w:val="28"/>
        </w:rPr>
        <w:t xml:space="preserve">: </w:t>
      </w:r>
      <w:r w:rsidR="00A90DA5">
        <w:rPr>
          <w:rFonts w:ascii="Arial" w:hAnsi="Arial" w:cs="Arial"/>
          <w:b/>
          <w:bCs/>
          <w:color w:val="1F3864" w:themeColor="accent1" w:themeShade="80"/>
          <w:sz w:val="28"/>
          <w:szCs w:val="28"/>
        </w:rPr>
        <w:t xml:space="preserve">Education </w:t>
      </w:r>
      <w:r w:rsidRPr="00CC0C8C">
        <w:rPr>
          <w:rFonts w:ascii="Arial" w:hAnsi="Arial" w:cs="Arial"/>
          <w:b/>
          <w:color w:val="1F3864" w:themeColor="accent1" w:themeShade="80"/>
          <w:sz w:val="28"/>
          <w:szCs w:val="28"/>
        </w:rPr>
        <w:t>Quality assurance process and purpose of activity</w:t>
      </w:r>
    </w:p>
    <w:p w14:paraId="73E54739" w14:textId="1DDF5C4B" w:rsidR="00CC0C8C" w:rsidRPr="00CC0C8C" w:rsidRDefault="00CC0C8C" w:rsidP="00897BF2">
      <w:pPr>
        <w:pStyle w:val="ListParagraph"/>
        <w:numPr>
          <w:ilvl w:val="0"/>
          <w:numId w:val="3"/>
        </w:numPr>
        <w:spacing w:line="240" w:lineRule="auto"/>
        <w:ind w:left="357" w:hanging="357"/>
        <w:rPr>
          <w:rFonts w:ascii="Arial" w:hAnsi="Arial" w:cs="Arial"/>
        </w:rPr>
      </w:pPr>
      <w:r w:rsidRPr="00CC0C8C">
        <w:rPr>
          <w:rFonts w:ascii="Arial" w:hAnsi="Arial" w:cs="Arial"/>
        </w:rPr>
        <w:t xml:space="preserve">As part of its duty to protect patients and promote high standards within the professions it regulates, the General Dental Council’s (GDC) Strategic Review of Education (2008) recommended that the Council should actively quality assure all training and awards which lead to entry to all GDC registers and listings (Dentist, Dental Care Professionals (DCP) and Specialist). </w:t>
      </w:r>
    </w:p>
    <w:p w14:paraId="3DEA492C" w14:textId="77777777" w:rsidR="00CC0C8C" w:rsidRDefault="00CC0C8C" w:rsidP="00897BF2">
      <w:pPr>
        <w:numPr>
          <w:ilvl w:val="0"/>
          <w:numId w:val="3"/>
        </w:numPr>
        <w:spacing w:after="200" w:line="240" w:lineRule="auto"/>
        <w:ind w:left="357" w:hanging="357"/>
        <w:rPr>
          <w:rFonts w:ascii="Arial" w:hAnsi="Arial" w:cs="Arial"/>
        </w:rPr>
      </w:pPr>
      <w:r w:rsidRPr="00CD3992">
        <w:rPr>
          <w:rFonts w:ascii="Arial" w:hAnsi="Arial" w:cs="Arial"/>
        </w:rPr>
        <w:t xml:space="preserve">The aim of this quality assurance activity is to ensure that </w:t>
      </w:r>
      <w:r>
        <w:rPr>
          <w:rFonts w:ascii="Arial" w:hAnsi="Arial" w:cs="Arial"/>
        </w:rPr>
        <w:t>dentist</w:t>
      </w:r>
      <w:r w:rsidRPr="00CD3992">
        <w:rPr>
          <w:rFonts w:ascii="Arial" w:hAnsi="Arial" w:cs="Arial"/>
        </w:rPr>
        <w:t xml:space="preserve"> registrant</w:t>
      </w:r>
      <w:r>
        <w:rPr>
          <w:rFonts w:ascii="Arial" w:hAnsi="Arial" w:cs="Arial"/>
        </w:rPr>
        <w:t>s, at the point of inclusion upon one of the GDC’s specialist lists,</w:t>
      </w:r>
      <w:r w:rsidRPr="00CD3992">
        <w:rPr>
          <w:rFonts w:ascii="Arial" w:hAnsi="Arial" w:cs="Arial"/>
        </w:rPr>
        <w:t xml:space="preserve"> </w:t>
      </w:r>
      <w:r>
        <w:rPr>
          <w:rFonts w:ascii="Arial" w:hAnsi="Arial" w:cs="Arial"/>
        </w:rPr>
        <w:t>have</w:t>
      </w:r>
      <w:r w:rsidRPr="00CD3992">
        <w:rPr>
          <w:rFonts w:ascii="Arial" w:hAnsi="Arial" w:cs="Arial"/>
        </w:rPr>
        <w:t xml:space="preserve"> demonstrated, on </w:t>
      </w:r>
      <w:r>
        <w:rPr>
          <w:rFonts w:ascii="Arial" w:hAnsi="Arial" w:cs="Arial"/>
        </w:rPr>
        <w:t>completion of their training</w:t>
      </w:r>
      <w:r w:rsidRPr="00CD3992">
        <w:rPr>
          <w:rFonts w:ascii="Arial" w:hAnsi="Arial" w:cs="Arial"/>
        </w:rPr>
        <w:t xml:space="preserve">, that </w:t>
      </w:r>
      <w:r>
        <w:rPr>
          <w:rFonts w:ascii="Arial" w:hAnsi="Arial" w:cs="Arial"/>
        </w:rPr>
        <w:t>they have</w:t>
      </w:r>
      <w:r w:rsidRPr="00CD3992">
        <w:rPr>
          <w:rFonts w:ascii="Arial" w:hAnsi="Arial" w:cs="Arial"/>
        </w:rPr>
        <w:t xml:space="preserve"> met the outcomes required for </w:t>
      </w:r>
      <w:r>
        <w:rPr>
          <w:rFonts w:ascii="Arial" w:hAnsi="Arial" w:cs="Arial"/>
        </w:rPr>
        <w:t>specialist listing on the dentists register</w:t>
      </w:r>
      <w:r w:rsidRPr="00CD3992">
        <w:rPr>
          <w:rFonts w:ascii="Arial" w:hAnsi="Arial" w:cs="Arial"/>
        </w:rPr>
        <w:t xml:space="preserve"> with the GDC. This </w:t>
      </w:r>
      <w:r>
        <w:rPr>
          <w:rFonts w:ascii="Arial" w:hAnsi="Arial" w:cs="Arial"/>
        </w:rPr>
        <w:t>will underpin and add value to the GDC’s responsibility in issuing a Certificate of Completion of Specialist Training (CCST) as part of the listing process.</w:t>
      </w:r>
      <w:r w:rsidRPr="00CD3992">
        <w:rPr>
          <w:rFonts w:ascii="Arial" w:hAnsi="Arial" w:cs="Arial"/>
        </w:rPr>
        <w:t xml:space="preserve"> </w:t>
      </w:r>
    </w:p>
    <w:p w14:paraId="6005F360" w14:textId="77777777" w:rsidR="00CC0C8C" w:rsidRPr="0088028A" w:rsidRDefault="00CC0C8C" w:rsidP="00897BF2">
      <w:pPr>
        <w:pStyle w:val="ListParagraph"/>
        <w:numPr>
          <w:ilvl w:val="0"/>
          <w:numId w:val="3"/>
        </w:numPr>
        <w:spacing w:after="120" w:line="240" w:lineRule="auto"/>
        <w:ind w:left="357" w:hanging="357"/>
        <w:contextualSpacing w:val="0"/>
        <w:rPr>
          <w:rFonts w:ascii="Arial" w:hAnsi="Arial" w:cs="Arial"/>
        </w:rPr>
      </w:pPr>
      <w:r w:rsidRPr="0088028A">
        <w:rPr>
          <w:rFonts w:ascii="Arial" w:hAnsi="Arial" w:cs="Arial"/>
        </w:rPr>
        <w:t xml:space="preserve">Consideration and development of our quality assurance processes therefore apply to training programmes in all 13 current specialties. Whilst our statutory responsibilities (see section </w:t>
      </w:r>
      <w:r>
        <w:rPr>
          <w:rFonts w:ascii="Arial" w:hAnsi="Arial" w:cs="Arial"/>
        </w:rPr>
        <w:t>17</w:t>
      </w:r>
      <w:r w:rsidRPr="0088028A">
        <w:rPr>
          <w:rFonts w:ascii="Arial" w:hAnsi="Arial" w:cs="Arial"/>
        </w:rPr>
        <w:t xml:space="preserve"> below) focus on orthodontics and oral surgery we do not currently possess an evidence base, drawing upon public protection arguments to differentiate between the specialties in quality assurance activity.</w:t>
      </w:r>
    </w:p>
    <w:p w14:paraId="5F569446" w14:textId="77777777" w:rsidR="00CC0C8C" w:rsidRPr="00100C55" w:rsidRDefault="00CC0C8C" w:rsidP="00CC0C8C">
      <w:pPr>
        <w:rPr>
          <w:rFonts w:ascii="Arial" w:hAnsi="Arial" w:cs="Arial"/>
          <w:i/>
        </w:rPr>
      </w:pPr>
      <w:r w:rsidRPr="00100C55">
        <w:rPr>
          <w:rFonts w:ascii="Arial" w:hAnsi="Arial" w:cs="Arial"/>
          <w:i/>
        </w:rPr>
        <w:t>Specialty training</w:t>
      </w:r>
    </w:p>
    <w:p w14:paraId="17831893" w14:textId="77777777" w:rsidR="00CC0C8C" w:rsidRPr="0088028A" w:rsidRDefault="00CC0C8C" w:rsidP="00897BF2">
      <w:pPr>
        <w:pStyle w:val="ListParagraph"/>
        <w:numPr>
          <w:ilvl w:val="0"/>
          <w:numId w:val="3"/>
        </w:numPr>
        <w:spacing w:after="120" w:line="240" w:lineRule="auto"/>
        <w:ind w:left="357" w:hanging="357"/>
        <w:contextualSpacing w:val="0"/>
        <w:rPr>
          <w:rFonts w:ascii="Arial" w:hAnsi="Arial" w:cs="Arial"/>
        </w:rPr>
      </w:pPr>
      <w:r w:rsidRPr="0088028A">
        <w:rPr>
          <w:rFonts w:ascii="Arial" w:hAnsi="Arial" w:cs="Arial"/>
        </w:rPr>
        <w:t xml:space="preserve">The primary route by which specialists join the Specialist lists, and the route upon which the GDC </w:t>
      </w:r>
      <w:r>
        <w:rPr>
          <w:rFonts w:ascii="Arial" w:hAnsi="Arial" w:cs="Arial"/>
        </w:rPr>
        <w:t>focusses</w:t>
      </w:r>
      <w:r w:rsidRPr="0088028A">
        <w:rPr>
          <w:rFonts w:ascii="Arial" w:hAnsi="Arial" w:cs="Arial"/>
        </w:rPr>
        <w:t xml:space="preserve"> its quality assurance </w:t>
      </w:r>
      <w:r>
        <w:rPr>
          <w:rFonts w:ascii="Arial" w:hAnsi="Arial" w:cs="Arial"/>
        </w:rPr>
        <w:t>activity</w:t>
      </w:r>
      <w:r w:rsidRPr="0088028A">
        <w:rPr>
          <w:rFonts w:ascii="Arial" w:hAnsi="Arial" w:cs="Arial"/>
        </w:rPr>
        <w:t>, is successful completion of a national training programme in the individual UK specialties, where training is based upon a GDC-approved curriculum</w:t>
      </w:r>
      <w:r w:rsidRPr="0088028A">
        <w:rPr>
          <w:rStyle w:val="FootnoteReference"/>
          <w:rFonts w:ascii="Arial" w:hAnsi="Arial" w:cs="Arial"/>
        </w:rPr>
        <w:footnoteReference w:id="2"/>
      </w:r>
      <w:r w:rsidRPr="0088028A">
        <w:rPr>
          <w:rFonts w:ascii="Arial" w:hAnsi="Arial" w:cs="Arial"/>
        </w:rPr>
        <w:t xml:space="preserve">, overseen by the </w:t>
      </w:r>
      <w:r w:rsidRPr="00CF773B">
        <w:rPr>
          <w:rFonts w:ascii="Arial" w:hAnsi="Arial" w:cs="Arial"/>
        </w:rPr>
        <w:t xml:space="preserve">regional postgraduate deaneries/LETBs, </w:t>
      </w:r>
      <w:r w:rsidRPr="0088028A">
        <w:rPr>
          <w:rFonts w:ascii="Arial" w:hAnsi="Arial" w:cs="Arial"/>
        </w:rPr>
        <w:t xml:space="preserve">and where the trainee also passes the relevant Royal College examination.  </w:t>
      </w:r>
    </w:p>
    <w:p w14:paraId="1B527C66" w14:textId="54D73BC4" w:rsidR="00CC0C8C" w:rsidRPr="0088028A" w:rsidRDefault="00CC0C8C" w:rsidP="00897BF2">
      <w:pPr>
        <w:pStyle w:val="ListParagraph"/>
        <w:numPr>
          <w:ilvl w:val="0"/>
          <w:numId w:val="3"/>
        </w:numPr>
        <w:spacing w:after="120" w:line="240" w:lineRule="auto"/>
        <w:ind w:left="357" w:hanging="357"/>
        <w:contextualSpacing w:val="0"/>
        <w:rPr>
          <w:rFonts w:ascii="Arial" w:hAnsi="Arial" w:cs="Arial"/>
        </w:rPr>
      </w:pPr>
      <w:r w:rsidRPr="0088028A">
        <w:rPr>
          <w:rFonts w:ascii="Arial" w:hAnsi="Arial" w:cs="Arial"/>
        </w:rPr>
        <w:t xml:space="preserve">Following these successes, the trainee is recommended for entry to the GDC Specialist Lists by award of a Certificate of Completion of Specialist Training (CCST). The postgraduate deanery/LETB recommend the award and the GDC awards the CCST.  </w:t>
      </w:r>
    </w:p>
    <w:p w14:paraId="467B02FC" w14:textId="77777777" w:rsidR="00CC0C8C" w:rsidRPr="0088028A" w:rsidRDefault="00CC0C8C" w:rsidP="00897BF2">
      <w:pPr>
        <w:pStyle w:val="ListParagraph"/>
        <w:numPr>
          <w:ilvl w:val="0"/>
          <w:numId w:val="3"/>
        </w:numPr>
        <w:spacing w:after="120" w:line="240" w:lineRule="auto"/>
        <w:ind w:left="357" w:hanging="357"/>
        <w:contextualSpacing w:val="0"/>
        <w:rPr>
          <w:rFonts w:ascii="Arial" w:hAnsi="Arial" w:cs="Arial"/>
        </w:rPr>
      </w:pPr>
      <w:r w:rsidRPr="0088028A">
        <w:rPr>
          <w:rFonts w:ascii="Arial" w:hAnsi="Arial" w:cs="Arial"/>
        </w:rPr>
        <w:t>Training in the dental specialties under the route described above is, typically, a three-year full-time hospital-based programme. This can involve trainees receiving training in a variety of hospital settings and other clinical environments. This form of delivery, together with the provision of exit examinations by a further provider has required changes to the GDC’s model of pre-registration QA inspection which is typically based on a single training centre under the auspices of a university or other educational body.</w:t>
      </w:r>
    </w:p>
    <w:p w14:paraId="782E64A5" w14:textId="77777777" w:rsidR="00CC0C8C" w:rsidRPr="00CC0C8C" w:rsidRDefault="00CC0C8C" w:rsidP="00CC0C8C">
      <w:pPr>
        <w:rPr>
          <w:rFonts w:ascii="Arial" w:hAnsi="Arial" w:cs="Arial"/>
          <w:i/>
        </w:rPr>
      </w:pPr>
      <w:r w:rsidRPr="00CC0C8C">
        <w:rPr>
          <w:rFonts w:ascii="Arial" w:hAnsi="Arial" w:cs="Arial"/>
          <w:i/>
        </w:rPr>
        <w:t>The GDC’s powers</w:t>
      </w:r>
    </w:p>
    <w:p w14:paraId="26D80BBF" w14:textId="77777777" w:rsidR="00CC0C8C" w:rsidRPr="0088028A" w:rsidRDefault="00CC0C8C" w:rsidP="00897BF2">
      <w:pPr>
        <w:pStyle w:val="ListParagraph"/>
        <w:numPr>
          <w:ilvl w:val="0"/>
          <w:numId w:val="3"/>
        </w:numPr>
        <w:spacing w:after="120" w:line="240" w:lineRule="auto"/>
        <w:ind w:left="357" w:hanging="357"/>
        <w:contextualSpacing w:val="0"/>
        <w:rPr>
          <w:rFonts w:ascii="Arial" w:hAnsi="Arial" w:cs="Arial"/>
        </w:rPr>
      </w:pPr>
      <w:r w:rsidRPr="0088028A">
        <w:rPr>
          <w:rFonts w:ascii="Arial" w:hAnsi="Arial" w:cs="Arial"/>
        </w:rPr>
        <w:t>The GDC’s powers in relation to specialist education and training differ from its powers for pre-registration training:</w:t>
      </w:r>
    </w:p>
    <w:p w14:paraId="49477754" w14:textId="77777777" w:rsidR="00CC0C8C" w:rsidRPr="0088028A" w:rsidRDefault="00CC0C8C" w:rsidP="00897BF2">
      <w:pPr>
        <w:pStyle w:val="ListParagraph"/>
        <w:numPr>
          <w:ilvl w:val="0"/>
          <w:numId w:val="3"/>
        </w:numPr>
        <w:spacing w:after="120" w:line="240" w:lineRule="auto"/>
        <w:ind w:left="357" w:hanging="357"/>
        <w:contextualSpacing w:val="0"/>
        <w:rPr>
          <w:rFonts w:ascii="Arial" w:hAnsi="Arial" w:cs="Arial"/>
        </w:rPr>
      </w:pPr>
      <w:r w:rsidRPr="0088028A">
        <w:rPr>
          <w:rFonts w:ascii="Arial" w:hAnsi="Arial" w:cs="Arial"/>
        </w:rPr>
        <w:t xml:space="preserve">The Dentist Act 1984 (the Act) restricts our ability to require training providers to provide information to those with Dental Authority (DA) Status. Of postgraduate providers, the Royal Colleges possess dental authority status as do universities undertaking postgraduate or specialist dental training. We can request information from other postgraduate training providers such as </w:t>
      </w:r>
      <w:r w:rsidRPr="00C565F4">
        <w:rPr>
          <w:rFonts w:ascii="Arial" w:hAnsi="Arial" w:cs="Arial"/>
        </w:rPr>
        <w:t xml:space="preserve">postgraduate deaneries/LETBs who </w:t>
      </w:r>
      <w:r w:rsidRPr="0088028A">
        <w:rPr>
          <w:rFonts w:ascii="Arial" w:hAnsi="Arial" w:cs="Arial"/>
        </w:rPr>
        <w:t>do not hold such status in connection with section 1(2)(a) of the Act.</w:t>
      </w:r>
    </w:p>
    <w:p w14:paraId="55B99C4B" w14:textId="77777777" w:rsidR="00CC0C8C" w:rsidRPr="0088028A" w:rsidRDefault="00CC0C8C" w:rsidP="00897BF2">
      <w:pPr>
        <w:pStyle w:val="ListParagraph"/>
        <w:numPr>
          <w:ilvl w:val="0"/>
          <w:numId w:val="3"/>
        </w:numPr>
        <w:spacing w:after="120" w:line="240" w:lineRule="auto"/>
        <w:ind w:left="357" w:hanging="357"/>
        <w:contextualSpacing w:val="0"/>
        <w:rPr>
          <w:rFonts w:ascii="Arial" w:hAnsi="Arial" w:cs="Arial"/>
        </w:rPr>
      </w:pPr>
      <w:r w:rsidRPr="0088028A">
        <w:rPr>
          <w:rFonts w:ascii="Arial" w:hAnsi="Arial" w:cs="Arial"/>
        </w:rPr>
        <w:lastRenderedPageBreak/>
        <w:t>We have powers under Section 9 of the Act to appoint visitors to inspect programmes and examinations of both undergraduate and postgraduate/specialist programmes. However, the concept of “sufficiency” applies only to DA</w:t>
      </w:r>
      <w:r>
        <w:rPr>
          <w:rFonts w:ascii="Arial" w:hAnsi="Arial" w:cs="Arial"/>
        </w:rPr>
        <w:t>s</w:t>
      </w:r>
      <w:r w:rsidRPr="0088028A">
        <w:rPr>
          <w:rFonts w:ascii="Arial" w:hAnsi="Arial" w:cs="Arial"/>
        </w:rPr>
        <w:t xml:space="preserve"> and there is no formal mechanism to approve or withdraw approval from postgraduate/specialist training providers who do not possess such status.</w:t>
      </w:r>
    </w:p>
    <w:p w14:paraId="4CADCDB9" w14:textId="77777777" w:rsidR="00CC0C8C" w:rsidRPr="0088028A" w:rsidRDefault="00CC0C8C" w:rsidP="00897BF2">
      <w:pPr>
        <w:pStyle w:val="ListParagraph"/>
        <w:numPr>
          <w:ilvl w:val="0"/>
          <w:numId w:val="3"/>
        </w:numPr>
        <w:spacing w:after="120" w:line="240" w:lineRule="auto"/>
        <w:ind w:left="357" w:hanging="357"/>
        <w:contextualSpacing w:val="0"/>
        <w:rPr>
          <w:rFonts w:ascii="Arial" w:hAnsi="Arial" w:cs="Arial"/>
        </w:rPr>
      </w:pPr>
      <w:r w:rsidRPr="0088028A">
        <w:rPr>
          <w:rFonts w:ascii="Arial" w:hAnsi="Arial" w:cs="Arial"/>
        </w:rPr>
        <w:t xml:space="preserve">The Specialist List Regulations provide us with powers to determine who is eligible to join the lists. </w:t>
      </w:r>
    </w:p>
    <w:p w14:paraId="42BA224D" w14:textId="77777777" w:rsidR="00CC0C8C" w:rsidRPr="0088028A" w:rsidRDefault="00CC0C8C" w:rsidP="00897BF2">
      <w:pPr>
        <w:pStyle w:val="ListParagraph"/>
        <w:numPr>
          <w:ilvl w:val="0"/>
          <w:numId w:val="3"/>
        </w:numPr>
        <w:spacing w:after="120" w:line="240" w:lineRule="auto"/>
        <w:ind w:left="357" w:hanging="357"/>
        <w:contextualSpacing w:val="0"/>
        <w:rPr>
          <w:rFonts w:ascii="Arial" w:hAnsi="Arial" w:cs="Arial"/>
        </w:rPr>
      </w:pPr>
      <w:r w:rsidRPr="0088028A">
        <w:rPr>
          <w:rFonts w:ascii="Arial" w:hAnsi="Arial" w:cs="Arial"/>
        </w:rPr>
        <w:t xml:space="preserve">The GDC is, in relation to specialist dental qualifications in orthodontics and oral surgery, the competent authority in the United Kingdom for the purposes of the Recognition Directive and the Dental Training Directive. The Council has a statutory duty to supervise training in these two specialties. </w:t>
      </w:r>
    </w:p>
    <w:p w14:paraId="79C2B39E" w14:textId="77777777" w:rsidR="00CC0C8C" w:rsidRDefault="00CC0C8C" w:rsidP="00897BF2">
      <w:pPr>
        <w:pStyle w:val="ListParagraph"/>
        <w:numPr>
          <w:ilvl w:val="0"/>
          <w:numId w:val="3"/>
        </w:numPr>
        <w:spacing w:after="120" w:line="240" w:lineRule="auto"/>
        <w:ind w:left="357" w:hanging="357"/>
        <w:contextualSpacing w:val="0"/>
        <w:rPr>
          <w:rFonts w:ascii="Arial" w:hAnsi="Arial" w:cs="Arial"/>
        </w:rPr>
      </w:pPr>
      <w:r w:rsidRPr="0088028A">
        <w:rPr>
          <w:rFonts w:ascii="Arial" w:hAnsi="Arial" w:cs="Arial"/>
        </w:rPr>
        <w:t>We have taken legal advice and have established that our statutory duty to supervise training in orthodontics and oral surgery can support quality assurance activity across the 13 specialties.</w:t>
      </w:r>
    </w:p>
    <w:p w14:paraId="1A2767C9" w14:textId="77777777" w:rsidR="00836CDF" w:rsidRDefault="00836CDF" w:rsidP="00CC0C8C">
      <w:pPr>
        <w:spacing w:after="120" w:line="240" w:lineRule="auto"/>
        <w:rPr>
          <w:rFonts w:ascii="Arial" w:hAnsi="Arial" w:cs="Arial"/>
          <w:b/>
          <w:bCs/>
          <w:color w:val="1F3864" w:themeColor="accent1" w:themeShade="80"/>
          <w:sz w:val="28"/>
          <w:szCs w:val="28"/>
        </w:rPr>
      </w:pPr>
    </w:p>
    <w:p w14:paraId="4D3094D4" w14:textId="257BD1AC" w:rsidR="00CC0C8C" w:rsidRPr="00CC0C8C" w:rsidRDefault="00CC0C8C" w:rsidP="00CC0C8C">
      <w:pPr>
        <w:spacing w:after="120" w:line="240" w:lineRule="auto"/>
        <w:rPr>
          <w:rFonts w:ascii="Arial" w:eastAsia="Times New Roman" w:hAnsi="Arial" w:cs="Arial"/>
          <w:b/>
          <w:color w:val="1F3864" w:themeColor="accent1" w:themeShade="80"/>
          <w:sz w:val="28"/>
          <w:szCs w:val="28"/>
          <w:lang w:val="en-US" w:eastAsia="en-GB"/>
        </w:rPr>
      </w:pPr>
      <w:r w:rsidRPr="00CC0C8C">
        <w:rPr>
          <w:rFonts w:ascii="Arial" w:hAnsi="Arial" w:cs="Arial"/>
          <w:b/>
          <w:bCs/>
          <w:color w:val="1F3864" w:themeColor="accent1" w:themeShade="80"/>
          <w:sz w:val="28"/>
          <w:szCs w:val="28"/>
        </w:rPr>
        <w:t xml:space="preserve">Annex 2: </w:t>
      </w:r>
      <w:bookmarkStart w:id="0" w:name="_Hlk15620087"/>
      <w:r w:rsidRPr="00CC0C8C">
        <w:rPr>
          <w:rFonts w:ascii="Arial" w:eastAsia="Times New Roman" w:hAnsi="Arial" w:cs="Arial"/>
          <w:b/>
          <w:color w:val="1F3864" w:themeColor="accent1" w:themeShade="80"/>
          <w:sz w:val="28"/>
          <w:szCs w:val="28"/>
          <w:lang w:val="en-US" w:eastAsia="en-GB"/>
        </w:rPr>
        <w:t>The EQA Process</w:t>
      </w:r>
    </w:p>
    <w:p w14:paraId="5BCA5F1B" w14:textId="55EED878" w:rsidR="00CC0C8C" w:rsidRPr="00332A9B" w:rsidRDefault="00CC0C8C" w:rsidP="00897BF2">
      <w:pPr>
        <w:numPr>
          <w:ilvl w:val="0"/>
          <w:numId w:val="3"/>
        </w:numPr>
        <w:spacing w:after="200" w:line="240" w:lineRule="auto"/>
        <w:ind w:left="357" w:hanging="357"/>
        <w:rPr>
          <w:rFonts w:ascii="Arial" w:hAnsi="Arial" w:cs="Arial"/>
          <w:color w:val="000000" w:themeColor="text1"/>
        </w:rPr>
      </w:pPr>
      <w:r w:rsidRPr="00332A9B">
        <w:rPr>
          <w:rFonts w:ascii="Arial" w:hAnsi="Arial" w:cs="Arial"/>
          <w:color w:val="000000" w:themeColor="text1"/>
        </w:rPr>
        <w:t xml:space="preserve">The </w:t>
      </w:r>
      <w:r w:rsidR="00A90DA5">
        <w:rPr>
          <w:rFonts w:ascii="Arial" w:hAnsi="Arial" w:cs="Arial"/>
          <w:color w:val="000000" w:themeColor="text1"/>
        </w:rPr>
        <w:t xml:space="preserve">education </w:t>
      </w:r>
      <w:r w:rsidRPr="00332A9B">
        <w:rPr>
          <w:rFonts w:ascii="Arial" w:hAnsi="Arial" w:cs="Arial"/>
          <w:color w:val="000000" w:themeColor="text1"/>
        </w:rPr>
        <w:t xml:space="preserve">quality assurance activity focuses on three Standards for programme providers, with a total of 20 </w:t>
      </w:r>
      <w:bookmarkEnd w:id="0"/>
      <w:r w:rsidRPr="00332A9B">
        <w:rPr>
          <w:rFonts w:ascii="Arial" w:hAnsi="Arial" w:cs="Arial"/>
          <w:color w:val="000000" w:themeColor="text1"/>
        </w:rPr>
        <w:t xml:space="preserve">underlying requirements. These are contained in the document </w:t>
      </w:r>
      <w:r w:rsidRPr="00332A9B">
        <w:rPr>
          <w:rFonts w:ascii="Arial" w:hAnsi="Arial" w:cs="Arial"/>
          <w:i/>
          <w:color w:val="000000" w:themeColor="text1"/>
        </w:rPr>
        <w:t xml:space="preserve">Standards for Specialty Education </w:t>
      </w:r>
      <w:r w:rsidRPr="00332A9B">
        <w:rPr>
          <w:rFonts w:ascii="Arial" w:hAnsi="Arial" w:cs="Arial"/>
          <w:iCs/>
          <w:color w:val="000000" w:themeColor="text1"/>
        </w:rPr>
        <w:t>(</w:t>
      </w:r>
      <w:r w:rsidRPr="00332A9B">
        <w:rPr>
          <w:rFonts w:ascii="Arial" w:hAnsi="Arial" w:cs="Arial"/>
          <w:color w:val="000000" w:themeColor="text1"/>
        </w:rPr>
        <w:t xml:space="preserve">current iteration published 2019 and available </w:t>
      </w:r>
      <w:hyperlink r:id="rId13" w:history="1">
        <w:r w:rsidRPr="009C23C7">
          <w:rPr>
            <w:rStyle w:val="Hyperlink"/>
            <w:rFonts w:ascii="Arial" w:hAnsi="Arial" w:cs="Arial"/>
          </w:rPr>
          <w:t>here</w:t>
        </w:r>
      </w:hyperlink>
      <w:r w:rsidRPr="00332A9B">
        <w:rPr>
          <w:rFonts w:ascii="Arial" w:hAnsi="Arial" w:cs="Arial"/>
          <w:color w:val="000000" w:themeColor="text1"/>
        </w:rPr>
        <w:t>).</w:t>
      </w:r>
    </w:p>
    <w:p w14:paraId="7DAF83B1" w14:textId="77777777" w:rsidR="00CC0C8C" w:rsidRPr="00332A9B" w:rsidRDefault="00CC0C8C" w:rsidP="00CC0C8C">
      <w:pPr>
        <w:spacing w:line="240" w:lineRule="auto"/>
        <w:rPr>
          <w:rFonts w:ascii="Arial" w:hAnsi="Arial" w:cs="Arial"/>
          <w:i/>
          <w:color w:val="000000" w:themeColor="text1"/>
        </w:rPr>
      </w:pPr>
      <w:r w:rsidRPr="00332A9B">
        <w:rPr>
          <w:rFonts w:ascii="Arial" w:hAnsi="Arial" w:cs="Arial"/>
          <w:i/>
          <w:color w:val="000000" w:themeColor="text1"/>
        </w:rPr>
        <w:t xml:space="preserve">General Principles </w:t>
      </w:r>
    </w:p>
    <w:p w14:paraId="515C2B4A" w14:textId="77777777" w:rsidR="00CC0C8C" w:rsidRPr="00332A9B" w:rsidRDefault="00CC0C8C" w:rsidP="00897BF2">
      <w:pPr>
        <w:numPr>
          <w:ilvl w:val="0"/>
          <w:numId w:val="3"/>
        </w:numPr>
        <w:spacing w:after="200" w:line="240" w:lineRule="auto"/>
        <w:ind w:left="357" w:hanging="357"/>
        <w:rPr>
          <w:rFonts w:ascii="Arial" w:hAnsi="Arial" w:cs="Arial"/>
          <w:color w:val="000000" w:themeColor="text1"/>
        </w:rPr>
      </w:pPr>
      <w:r w:rsidRPr="00332A9B">
        <w:rPr>
          <w:rFonts w:ascii="Arial" w:hAnsi="Arial" w:cs="Arial"/>
          <w:color w:val="000000" w:themeColor="text1"/>
        </w:rPr>
        <w:t>Our historic consultation and stakeholder engagement on the Standards signalled the GDC’s expectations in relation to specialty education.  Publishing the first iteration of Standards for Specialty Education in 2015 was seen to send a clear message to the sector about the quality the GDC expects in order to protect patients and the public.</w:t>
      </w:r>
    </w:p>
    <w:p w14:paraId="57F597D0" w14:textId="77777777" w:rsidR="00CC0C8C" w:rsidRPr="00332A9B" w:rsidRDefault="00CC0C8C" w:rsidP="00897BF2">
      <w:pPr>
        <w:numPr>
          <w:ilvl w:val="0"/>
          <w:numId w:val="3"/>
        </w:numPr>
        <w:spacing w:after="200" w:line="240" w:lineRule="auto"/>
        <w:ind w:left="357" w:hanging="357"/>
        <w:rPr>
          <w:rFonts w:ascii="Arial" w:hAnsi="Arial" w:cs="Arial"/>
          <w:color w:val="000000" w:themeColor="text1"/>
        </w:rPr>
      </w:pPr>
      <w:r w:rsidRPr="00332A9B">
        <w:rPr>
          <w:rFonts w:ascii="Arial" w:hAnsi="Arial" w:cs="Arial"/>
          <w:color w:val="000000" w:themeColor="text1"/>
        </w:rPr>
        <w:t xml:space="preserve">In addition to publishing the GDC standards, we recognised that the UK Committee of Postgraduate Dental Deans and Directors (COPDEND) already publishes a quality management tool in the form of </w:t>
      </w:r>
      <w:r w:rsidRPr="00332A9B">
        <w:rPr>
          <w:rFonts w:ascii="Arial" w:hAnsi="Arial" w:cs="Arial"/>
          <w:i/>
          <w:color w:val="000000" w:themeColor="text1"/>
        </w:rPr>
        <w:t>The Gold Guide.</w:t>
      </w:r>
      <w:r w:rsidRPr="00332A9B">
        <w:rPr>
          <w:rFonts w:ascii="Arial" w:hAnsi="Arial" w:cs="Arial"/>
          <w:color w:val="000000" w:themeColor="text1"/>
        </w:rPr>
        <w:t xml:space="preserve">  We also recognised that specialty trainees are in the main already GDC registrants; and that we needed to be sensitive to the fact that specialty training (where it takes place in NHS Trusts and roles) operates in an already highly regulated environment.</w:t>
      </w:r>
    </w:p>
    <w:p w14:paraId="03CDEFEA" w14:textId="77777777" w:rsidR="00CC0C8C" w:rsidRPr="00332A9B" w:rsidRDefault="00CC0C8C" w:rsidP="00897BF2">
      <w:pPr>
        <w:numPr>
          <w:ilvl w:val="0"/>
          <w:numId w:val="3"/>
        </w:numPr>
        <w:spacing w:after="200" w:line="240" w:lineRule="auto"/>
        <w:ind w:left="357" w:hanging="357"/>
        <w:rPr>
          <w:rFonts w:ascii="Arial" w:hAnsi="Arial" w:cs="Arial"/>
          <w:color w:val="000000" w:themeColor="text1"/>
        </w:rPr>
      </w:pPr>
      <w:r w:rsidRPr="00332A9B">
        <w:rPr>
          <w:rFonts w:ascii="Arial" w:hAnsi="Arial" w:cs="Arial"/>
          <w:color w:val="000000" w:themeColor="text1"/>
        </w:rPr>
        <w:t xml:space="preserve">We have been mindful that that our regulatory approach, both in its piloting and in </w:t>
      </w:r>
      <w:r>
        <w:rPr>
          <w:rFonts w:ascii="Arial" w:hAnsi="Arial" w:cs="Arial"/>
          <w:color w:val="000000" w:themeColor="text1"/>
        </w:rPr>
        <w:t>its</w:t>
      </w:r>
      <w:r w:rsidRPr="00332A9B">
        <w:rPr>
          <w:rFonts w:ascii="Arial" w:hAnsi="Arial" w:cs="Arial"/>
          <w:color w:val="000000" w:themeColor="text1"/>
        </w:rPr>
        <w:t xml:space="preserve"> </w:t>
      </w:r>
      <w:r>
        <w:rPr>
          <w:rFonts w:ascii="Arial" w:hAnsi="Arial" w:cs="Arial"/>
          <w:color w:val="000000" w:themeColor="text1"/>
        </w:rPr>
        <w:t>current operational introduction</w:t>
      </w:r>
      <w:r w:rsidRPr="00332A9B">
        <w:rPr>
          <w:rFonts w:ascii="Arial" w:hAnsi="Arial" w:cs="Arial"/>
          <w:color w:val="000000" w:themeColor="text1"/>
        </w:rPr>
        <w:t>, must not introduce disproportionate or unnecessary burdens on providers.</w:t>
      </w:r>
    </w:p>
    <w:p w14:paraId="0E79A653" w14:textId="5ED87CFA" w:rsidR="00CC0C8C" w:rsidRPr="00332A9B" w:rsidRDefault="00CC0C8C" w:rsidP="00897BF2">
      <w:pPr>
        <w:numPr>
          <w:ilvl w:val="0"/>
          <w:numId w:val="3"/>
        </w:numPr>
        <w:spacing w:after="200" w:line="240" w:lineRule="auto"/>
        <w:ind w:left="357" w:hanging="357"/>
        <w:rPr>
          <w:rFonts w:ascii="Arial" w:hAnsi="Arial" w:cs="Arial"/>
          <w:color w:val="000000" w:themeColor="text1"/>
        </w:rPr>
      </w:pPr>
      <w:r w:rsidRPr="00332A9B">
        <w:rPr>
          <w:rFonts w:ascii="Arial" w:hAnsi="Arial" w:cs="Arial"/>
          <w:color w:val="000000" w:themeColor="text1"/>
        </w:rPr>
        <w:t xml:space="preserve">The second iteration of Standards </w:t>
      </w:r>
      <w:r w:rsidR="00C270B9" w:rsidRPr="00332A9B">
        <w:rPr>
          <w:rFonts w:ascii="Arial" w:hAnsi="Arial" w:cs="Arial"/>
          <w:color w:val="000000" w:themeColor="text1"/>
        </w:rPr>
        <w:t>for</w:t>
      </w:r>
      <w:r w:rsidRPr="00332A9B">
        <w:rPr>
          <w:rFonts w:ascii="Arial" w:hAnsi="Arial" w:cs="Arial"/>
          <w:color w:val="000000" w:themeColor="text1"/>
        </w:rPr>
        <w:t xml:space="preserve"> Dental Education, referenced above, maintains this proportionate approach whilst also containing two major developments:</w:t>
      </w:r>
    </w:p>
    <w:p w14:paraId="6BEE681C" w14:textId="77777777" w:rsidR="00CC0C8C" w:rsidRPr="00332A9B" w:rsidRDefault="00CC0C8C" w:rsidP="00897BF2">
      <w:pPr>
        <w:numPr>
          <w:ilvl w:val="1"/>
          <w:numId w:val="2"/>
        </w:numPr>
        <w:spacing w:after="200" w:line="240" w:lineRule="auto"/>
        <w:rPr>
          <w:rFonts w:ascii="Arial" w:hAnsi="Arial" w:cs="Arial"/>
          <w:color w:val="000000" w:themeColor="text1"/>
        </w:rPr>
      </w:pPr>
      <w:r w:rsidRPr="00332A9B">
        <w:rPr>
          <w:rFonts w:ascii="Arial" w:hAnsi="Arial" w:cs="Arial"/>
          <w:color w:val="000000" w:themeColor="text1"/>
        </w:rPr>
        <w:t xml:space="preserve">Separating the Standards so there are discrete requirements for programme and </w:t>
      </w:r>
      <w:r>
        <w:rPr>
          <w:rFonts w:ascii="Arial" w:hAnsi="Arial" w:cs="Arial"/>
          <w:color w:val="000000" w:themeColor="text1"/>
        </w:rPr>
        <w:t>examination</w:t>
      </w:r>
      <w:r w:rsidRPr="00332A9B">
        <w:rPr>
          <w:rFonts w:ascii="Arial" w:hAnsi="Arial" w:cs="Arial"/>
          <w:color w:val="000000" w:themeColor="text1"/>
        </w:rPr>
        <w:t xml:space="preserve"> providers.</w:t>
      </w:r>
    </w:p>
    <w:p w14:paraId="341CEF96" w14:textId="77777777" w:rsidR="00CC0C8C" w:rsidRPr="00332A9B" w:rsidRDefault="00CC0C8C" w:rsidP="00897BF2">
      <w:pPr>
        <w:numPr>
          <w:ilvl w:val="1"/>
          <w:numId w:val="2"/>
        </w:numPr>
        <w:spacing w:after="200" w:line="240" w:lineRule="auto"/>
        <w:rPr>
          <w:rFonts w:ascii="Arial" w:hAnsi="Arial" w:cs="Arial"/>
          <w:color w:val="000000" w:themeColor="text1"/>
        </w:rPr>
      </w:pPr>
      <w:r w:rsidRPr="00332A9B">
        <w:rPr>
          <w:rFonts w:ascii="Arial" w:hAnsi="Arial" w:cs="Arial"/>
          <w:color w:val="000000" w:themeColor="text1"/>
        </w:rPr>
        <w:t>Introducing an overarching requirement to provide evidence (of the provider’s choosing) to support their self-assessment</w:t>
      </w:r>
      <w:r>
        <w:rPr>
          <w:rFonts w:ascii="Arial" w:hAnsi="Arial" w:cs="Arial"/>
          <w:color w:val="000000" w:themeColor="text1"/>
        </w:rPr>
        <w:t>.</w:t>
      </w:r>
      <w:r w:rsidRPr="00332A9B">
        <w:rPr>
          <w:rFonts w:ascii="Arial" w:hAnsi="Arial" w:cs="Arial"/>
          <w:color w:val="000000" w:themeColor="text1"/>
        </w:rPr>
        <w:t xml:space="preserve"> </w:t>
      </w:r>
    </w:p>
    <w:p w14:paraId="02F93E71" w14:textId="77777777" w:rsidR="00A90DA5" w:rsidRDefault="00A90DA5" w:rsidP="00836CDF">
      <w:pPr>
        <w:spacing w:line="240" w:lineRule="auto"/>
        <w:rPr>
          <w:rFonts w:ascii="Arial" w:hAnsi="Arial" w:cs="Arial"/>
          <w:i/>
          <w:color w:val="000000" w:themeColor="text1"/>
        </w:rPr>
      </w:pPr>
    </w:p>
    <w:p w14:paraId="773A3FC3" w14:textId="77777777" w:rsidR="00A90DA5" w:rsidRDefault="00A90DA5" w:rsidP="00836CDF">
      <w:pPr>
        <w:spacing w:line="240" w:lineRule="auto"/>
        <w:rPr>
          <w:rFonts w:ascii="Arial" w:hAnsi="Arial" w:cs="Arial"/>
          <w:i/>
          <w:color w:val="000000" w:themeColor="text1"/>
        </w:rPr>
      </w:pPr>
    </w:p>
    <w:p w14:paraId="5D2AB788" w14:textId="77777777" w:rsidR="00A90DA5" w:rsidRDefault="00A90DA5" w:rsidP="00836CDF">
      <w:pPr>
        <w:spacing w:line="240" w:lineRule="auto"/>
        <w:rPr>
          <w:rFonts w:ascii="Arial" w:hAnsi="Arial" w:cs="Arial"/>
          <w:i/>
          <w:color w:val="000000" w:themeColor="text1"/>
        </w:rPr>
      </w:pPr>
    </w:p>
    <w:p w14:paraId="5520193E" w14:textId="10AD232A" w:rsidR="00CC0C8C" w:rsidRPr="00332A9B" w:rsidRDefault="00CC0C8C" w:rsidP="00836CDF">
      <w:pPr>
        <w:spacing w:line="240" w:lineRule="auto"/>
        <w:rPr>
          <w:rFonts w:ascii="Arial" w:hAnsi="Arial" w:cs="Arial"/>
          <w:i/>
          <w:color w:val="000000" w:themeColor="text1"/>
        </w:rPr>
      </w:pPr>
      <w:r w:rsidRPr="00332A9B">
        <w:rPr>
          <w:rFonts w:ascii="Arial" w:hAnsi="Arial" w:cs="Arial"/>
          <w:i/>
          <w:color w:val="000000" w:themeColor="text1"/>
        </w:rPr>
        <w:lastRenderedPageBreak/>
        <w:t xml:space="preserve">Collection of evidence </w:t>
      </w:r>
    </w:p>
    <w:p w14:paraId="4B7551DD" w14:textId="77777777" w:rsidR="00CC0C8C" w:rsidRPr="00332A9B" w:rsidRDefault="00CC0C8C" w:rsidP="00897BF2">
      <w:pPr>
        <w:numPr>
          <w:ilvl w:val="0"/>
          <w:numId w:val="3"/>
        </w:numPr>
        <w:spacing w:after="200" w:line="240" w:lineRule="auto"/>
        <w:ind w:left="357" w:hanging="357"/>
        <w:rPr>
          <w:rFonts w:ascii="Arial" w:hAnsi="Arial" w:cs="Arial"/>
          <w:color w:val="000000" w:themeColor="text1"/>
        </w:rPr>
      </w:pPr>
      <w:r w:rsidRPr="00332A9B">
        <w:rPr>
          <w:rFonts w:ascii="Arial" w:hAnsi="Arial" w:cs="Arial"/>
          <w:color w:val="000000" w:themeColor="text1"/>
        </w:rPr>
        <w:t>Therefore, the process remains based upon moderated self-assessment and includes:</w:t>
      </w:r>
    </w:p>
    <w:p w14:paraId="6ED26C2A" w14:textId="77777777" w:rsidR="00CC0C8C" w:rsidRPr="00332A9B" w:rsidRDefault="00CC0C8C" w:rsidP="00897BF2">
      <w:pPr>
        <w:numPr>
          <w:ilvl w:val="0"/>
          <w:numId w:val="4"/>
        </w:numPr>
        <w:spacing w:after="200" w:line="240" w:lineRule="auto"/>
        <w:rPr>
          <w:rFonts w:ascii="Arial" w:hAnsi="Arial" w:cs="Arial"/>
          <w:color w:val="000000" w:themeColor="text1"/>
        </w:rPr>
      </w:pPr>
      <w:r w:rsidRPr="00332A9B">
        <w:rPr>
          <w:rFonts w:ascii="Arial" w:hAnsi="Arial" w:cs="Arial"/>
          <w:color w:val="000000" w:themeColor="text1"/>
        </w:rPr>
        <w:t>a data set that profiles specialty trainees and scrutinises key data including information about the trainees’ progression rate through programmes and exit examinations</w:t>
      </w:r>
      <w:r>
        <w:rPr>
          <w:rFonts w:ascii="Arial" w:hAnsi="Arial" w:cs="Arial"/>
          <w:color w:val="000000" w:themeColor="text1"/>
        </w:rPr>
        <w:t>.</w:t>
      </w:r>
    </w:p>
    <w:p w14:paraId="198C8225" w14:textId="77777777" w:rsidR="00CC0C8C" w:rsidRPr="00332A9B" w:rsidRDefault="00CC0C8C" w:rsidP="00897BF2">
      <w:pPr>
        <w:numPr>
          <w:ilvl w:val="0"/>
          <w:numId w:val="4"/>
        </w:numPr>
        <w:spacing w:after="200" w:line="240" w:lineRule="auto"/>
        <w:rPr>
          <w:rFonts w:ascii="Arial" w:hAnsi="Arial" w:cs="Arial"/>
          <w:color w:val="000000" w:themeColor="text1"/>
        </w:rPr>
      </w:pPr>
      <w:r w:rsidRPr="00332A9B">
        <w:rPr>
          <w:rFonts w:ascii="Arial" w:hAnsi="Arial" w:cs="Arial"/>
          <w:color w:val="000000" w:themeColor="text1"/>
        </w:rPr>
        <w:t>a self-assessment questionnaire giving providers the opportunity to indicate their performance in the context of the Standards and requirements</w:t>
      </w:r>
      <w:r>
        <w:rPr>
          <w:rFonts w:ascii="Arial" w:hAnsi="Arial" w:cs="Arial"/>
          <w:color w:val="000000" w:themeColor="text1"/>
        </w:rPr>
        <w:t>.</w:t>
      </w:r>
    </w:p>
    <w:p w14:paraId="3E6974B9" w14:textId="77777777" w:rsidR="00CC0C8C" w:rsidRPr="00332A9B" w:rsidRDefault="00CC0C8C" w:rsidP="00897BF2">
      <w:pPr>
        <w:numPr>
          <w:ilvl w:val="0"/>
          <w:numId w:val="4"/>
        </w:numPr>
        <w:spacing w:after="200" w:line="240" w:lineRule="auto"/>
        <w:rPr>
          <w:rFonts w:ascii="Arial" w:hAnsi="Arial" w:cs="Arial"/>
          <w:color w:val="000000" w:themeColor="text1"/>
        </w:rPr>
      </w:pPr>
      <w:r w:rsidRPr="00332A9B">
        <w:rPr>
          <w:rFonts w:ascii="Arial" w:hAnsi="Arial" w:cs="Arial"/>
          <w:color w:val="000000" w:themeColor="text1"/>
        </w:rPr>
        <w:t xml:space="preserve">the requirement to provide illustrative and supporting evidence to </w:t>
      </w:r>
      <w:r>
        <w:rPr>
          <w:rFonts w:ascii="Arial" w:hAnsi="Arial" w:cs="Arial"/>
          <w:color w:val="000000" w:themeColor="text1"/>
        </w:rPr>
        <w:t>support the contents of the completed</w:t>
      </w:r>
      <w:r w:rsidRPr="00332A9B">
        <w:rPr>
          <w:rFonts w:ascii="Arial" w:hAnsi="Arial" w:cs="Arial"/>
          <w:color w:val="000000" w:themeColor="text1"/>
        </w:rPr>
        <w:t xml:space="preserve"> self-assessment</w:t>
      </w:r>
      <w:r>
        <w:rPr>
          <w:rFonts w:ascii="Arial" w:hAnsi="Arial" w:cs="Arial"/>
          <w:color w:val="000000" w:themeColor="text1"/>
        </w:rPr>
        <w:t xml:space="preserve"> questionnaire.</w:t>
      </w:r>
    </w:p>
    <w:p w14:paraId="6EAFA848" w14:textId="77777777" w:rsidR="00CC0C8C" w:rsidRPr="00332A9B" w:rsidRDefault="00CC0C8C" w:rsidP="00897BF2">
      <w:pPr>
        <w:numPr>
          <w:ilvl w:val="0"/>
          <w:numId w:val="3"/>
        </w:numPr>
        <w:spacing w:after="200" w:line="240" w:lineRule="auto"/>
        <w:ind w:left="357" w:hanging="357"/>
        <w:rPr>
          <w:rFonts w:ascii="Arial" w:hAnsi="Arial" w:cs="Arial"/>
          <w:color w:val="000000" w:themeColor="text1"/>
        </w:rPr>
      </w:pPr>
      <w:r w:rsidRPr="00332A9B">
        <w:rPr>
          <w:rFonts w:ascii="Arial" w:hAnsi="Arial" w:cs="Arial"/>
          <w:color w:val="000000" w:themeColor="text1"/>
        </w:rPr>
        <w:t>The following descriptors are employed as a means of reference for establishing a programme provider’s compliance with the individual requirements.</w:t>
      </w:r>
    </w:p>
    <w:p w14:paraId="63D7D282" w14:textId="75065E6A" w:rsidR="00CC0C8C" w:rsidRPr="003A2AFC" w:rsidRDefault="00CC0C8C" w:rsidP="00A90DA5">
      <w:pPr>
        <w:pStyle w:val="ListParagraph"/>
        <w:spacing w:line="240" w:lineRule="auto"/>
        <w:ind w:left="714"/>
        <w:contextualSpacing w:val="0"/>
        <w:rPr>
          <w:rFonts w:ascii="Arial" w:hAnsi="Arial" w:cs="Arial"/>
        </w:rPr>
      </w:pPr>
      <w:r w:rsidRPr="003A2AFC">
        <w:rPr>
          <w:rFonts w:ascii="Arial" w:hAnsi="Arial" w:cs="Arial"/>
        </w:rPr>
        <w:t xml:space="preserve">A Requirement is </w:t>
      </w:r>
      <w:r w:rsidR="00A90DA5">
        <w:rPr>
          <w:rFonts w:ascii="Arial" w:hAnsi="Arial" w:cs="Arial"/>
          <w:b/>
        </w:rPr>
        <w:t>M</w:t>
      </w:r>
      <w:r w:rsidRPr="003A2AFC">
        <w:rPr>
          <w:rFonts w:ascii="Arial" w:hAnsi="Arial" w:cs="Arial"/>
          <w:b/>
        </w:rPr>
        <w:t xml:space="preserve">et </w:t>
      </w:r>
      <w:r w:rsidRPr="003A2AFC">
        <w:rPr>
          <w:rFonts w:ascii="Arial" w:hAnsi="Arial" w:cs="Arial"/>
        </w:rPr>
        <w:t>if:</w:t>
      </w:r>
    </w:p>
    <w:p w14:paraId="69B3A4E8" w14:textId="77777777" w:rsidR="00CC0C8C" w:rsidRPr="003A2AFC" w:rsidRDefault="00CC0C8C" w:rsidP="00CC0C8C">
      <w:pPr>
        <w:pStyle w:val="ListParagraph"/>
        <w:spacing w:line="240" w:lineRule="auto"/>
        <w:ind w:left="714"/>
        <w:contextualSpacing w:val="0"/>
        <w:rPr>
          <w:rFonts w:ascii="Arial" w:hAnsi="Arial" w:cs="Arial"/>
        </w:rPr>
      </w:pPr>
      <w:r w:rsidRPr="003A2AFC">
        <w:rPr>
          <w:rFonts w:ascii="Arial" w:hAnsi="Arial" w:cs="Arial"/>
        </w:rPr>
        <w:t xml:space="preserve">There is sufficient appropriate evidence derived from the </w:t>
      </w:r>
      <w:r>
        <w:rPr>
          <w:rFonts w:ascii="Arial" w:hAnsi="Arial" w:cs="Arial"/>
        </w:rPr>
        <w:t>pilot</w:t>
      </w:r>
      <w:r w:rsidRPr="003A2AFC">
        <w:rPr>
          <w:rFonts w:ascii="Arial" w:hAnsi="Arial" w:cs="Arial"/>
        </w:rPr>
        <w:t xml:space="preserve"> process. This evidence provides the </w:t>
      </w:r>
      <w:r>
        <w:rPr>
          <w:rFonts w:ascii="Arial" w:hAnsi="Arial" w:cs="Arial"/>
        </w:rPr>
        <w:t>GDC</w:t>
      </w:r>
      <w:r w:rsidRPr="003A2AFC">
        <w:rPr>
          <w:rFonts w:ascii="Arial" w:hAnsi="Arial" w:cs="Arial"/>
        </w:rPr>
        <w:t xml:space="preserve"> with broad confidence that the </w:t>
      </w:r>
      <w:r>
        <w:rPr>
          <w:rFonts w:ascii="Arial" w:hAnsi="Arial" w:cs="Arial"/>
        </w:rPr>
        <w:t xml:space="preserve">programme </w:t>
      </w:r>
      <w:r w:rsidRPr="003A2AFC">
        <w:rPr>
          <w:rFonts w:ascii="Arial" w:hAnsi="Arial" w:cs="Arial"/>
        </w:rPr>
        <w:t xml:space="preserve">provider demonstrates </w:t>
      </w:r>
      <w:r>
        <w:rPr>
          <w:rFonts w:ascii="Arial" w:hAnsi="Arial" w:cs="Arial"/>
        </w:rPr>
        <w:t>compliance with the r</w:t>
      </w:r>
      <w:r w:rsidRPr="003A2AFC">
        <w:rPr>
          <w:rFonts w:ascii="Arial" w:hAnsi="Arial" w:cs="Arial"/>
        </w:rPr>
        <w:t xml:space="preserve">equirement. </w:t>
      </w:r>
      <w:r>
        <w:rPr>
          <w:rFonts w:ascii="Arial" w:hAnsi="Arial" w:cs="Arial"/>
        </w:rPr>
        <w:t>The provider’s narrative and d</w:t>
      </w:r>
      <w:r w:rsidRPr="003A2AFC">
        <w:rPr>
          <w:rFonts w:ascii="Arial" w:hAnsi="Arial" w:cs="Arial"/>
        </w:rPr>
        <w:t xml:space="preserve">ocumentary evidence </w:t>
      </w:r>
      <w:r>
        <w:rPr>
          <w:rFonts w:ascii="Arial" w:hAnsi="Arial" w:cs="Arial"/>
        </w:rPr>
        <w:t>are</w:t>
      </w:r>
      <w:r w:rsidRPr="003A2AFC">
        <w:rPr>
          <w:rFonts w:ascii="Arial" w:hAnsi="Arial" w:cs="Arial"/>
        </w:rPr>
        <w:t xml:space="preserve"> robust, consistent and not contradictory. There may be minor deficiencies in the evidence supplied but these are likely to be inconsequential.”</w:t>
      </w:r>
    </w:p>
    <w:p w14:paraId="2BCA56C3" w14:textId="24F0B2A2" w:rsidR="00CC0C8C" w:rsidRPr="003A2AFC" w:rsidRDefault="00CC0C8C" w:rsidP="00A90DA5">
      <w:pPr>
        <w:pStyle w:val="ListParagraph"/>
        <w:spacing w:line="240" w:lineRule="auto"/>
        <w:ind w:left="714"/>
        <w:contextualSpacing w:val="0"/>
        <w:rPr>
          <w:rFonts w:ascii="Arial" w:hAnsi="Arial" w:cs="Arial"/>
        </w:rPr>
      </w:pPr>
      <w:r w:rsidRPr="003A2AFC">
        <w:rPr>
          <w:rFonts w:ascii="Arial" w:hAnsi="Arial" w:cs="Arial"/>
        </w:rPr>
        <w:t xml:space="preserve">A Requirement is </w:t>
      </w:r>
      <w:r w:rsidR="00A90DA5">
        <w:rPr>
          <w:rFonts w:ascii="Arial" w:hAnsi="Arial" w:cs="Arial"/>
          <w:b/>
        </w:rPr>
        <w:t>P</w:t>
      </w:r>
      <w:r w:rsidRPr="003A2AFC">
        <w:rPr>
          <w:rFonts w:ascii="Arial" w:hAnsi="Arial" w:cs="Arial"/>
          <w:b/>
        </w:rPr>
        <w:t xml:space="preserve">artly </w:t>
      </w:r>
      <w:r w:rsidR="00A90DA5">
        <w:rPr>
          <w:rFonts w:ascii="Arial" w:hAnsi="Arial" w:cs="Arial"/>
          <w:b/>
        </w:rPr>
        <w:t>M</w:t>
      </w:r>
      <w:r w:rsidRPr="003A2AFC">
        <w:rPr>
          <w:rFonts w:ascii="Arial" w:hAnsi="Arial" w:cs="Arial"/>
          <w:b/>
        </w:rPr>
        <w:t xml:space="preserve">et </w:t>
      </w:r>
      <w:r w:rsidRPr="003A2AFC">
        <w:rPr>
          <w:rFonts w:ascii="Arial" w:hAnsi="Arial" w:cs="Arial"/>
        </w:rPr>
        <w:t>if:</w:t>
      </w:r>
    </w:p>
    <w:p w14:paraId="0C6F41B2" w14:textId="77777777" w:rsidR="00CC0C8C" w:rsidRDefault="00CC0C8C" w:rsidP="00CC0C8C">
      <w:pPr>
        <w:pStyle w:val="ListParagraph"/>
        <w:spacing w:line="240" w:lineRule="auto"/>
        <w:ind w:left="714"/>
        <w:contextualSpacing w:val="0"/>
        <w:rPr>
          <w:rFonts w:ascii="Arial" w:hAnsi="Arial" w:cs="Arial"/>
        </w:rPr>
      </w:pPr>
      <w:r w:rsidRPr="003A2AFC">
        <w:rPr>
          <w:rFonts w:ascii="Arial" w:hAnsi="Arial" w:cs="Arial"/>
        </w:rPr>
        <w:t xml:space="preserve">Evidence derived from the </w:t>
      </w:r>
      <w:r>
        <w:rPr>
          <w:rFonts w:ascii="Arial" w:hAnsi="Arial" w:cs="Arial"/>
        </w:rPr>
        <w:t>pilot</w:t>
      </w:r>
      <w:r w:rsidRPr="003A2AFC">
        <w:rPr>
          <w:rFonts w:ascii="Arial" w:hAnsi="Arial" w:cs="Arial"/>
        </w:rPr>
        <w:t xml:space="preserve"> process is either incomplete or lacks detail and, as such, fails to convince the </w:t>
      </w:r>
      <w:r>
        <w:rPr>
          <w:rFonts w:ascii="Arial" w:hAnsi="Arial" w:cs="Arial"/>
        </w:rPr>
        <w:t>GDC</w:t>
      </w:r>
      <w:r w:rsidRPr="003A2AFC">
        <w:rPr>
          <w:rFonts w:ascii="Arial" w:hAnsi="Arial" w:cs="Arial"/>
        </w:rPr>
        <w:t xml:space="preserve"> that the </w:t>
      </w:r>
      <w:r>
        <w:rPr>
          <w:rFonts w:ascii="Arial" w:hAnsi="Arial" w:cs="Arial"/>
        </w:rPr>
        <w:t xml:space="preserve">programme </w:t>
      </w:r>
      <w:r w:rsidRPr="003A2AFC">
        <w:rPr>
          <w:rFonts w:ascii="Arial" w:hAnsi="Arial" w:cs="Arial"/>
        </w:rPr>
        <w:t xml:space="preserve">provider fully demonstrates </w:t>
      </w:r>
      <w:r>
        <w:rPr>
          <w:rFonts w:ascii="Arial" w:hAnsi="Arial" w:cs="Arial"/>
        </w:rPr>
        <w:t xml:space="preserve">compliance with </w:t>
      </w:r>
      <w:r w:rsidRPr="003A2AFC">
        <w:rPr>
          <w:rFonts w:ascii="Arial" w:hAnsi="Arial" w:cs="Arial"/>
        </w:rPr>
        <w:t xml:space="preserve">the </w:t>
      </w:r>
      <w:r>
        <w:rPr>
          <w:rFonts w:ascii="Arial" w:hAnsi="Arial" w:cs="Arial"/>
        </w:rPr>
        <w:t>r</w:t>
      </w:r>
      <w:r w:rsidRPr="003A2AFC">
        <w:rPr>
          <w:rFonts w:ascii="Arial" w:hAnsi="Arial" w:cs="Arial"/>
        </w:rPr>
        <w:t xml:space="preserve">equirement. </w:t>
      </w:r>
      <w:r>
        <w:rPr>
          <w:rFonts w:ascii="Arial" w:hAnsi="Arial" w:cs="Arial"/>
        </w:rPr>
        <w:t>T</w:t>
      </w:r>
      <w:r w:rsidRPr="003A2AFC">
        <w:rPr>
          <w:rFonts w:ascii="Arial" w:hAnsi="Arial" w:cs="Arial"/>
        </w:rPr>
        <w:t xml:space="preserve">here may be contradictory information in the evidence provided. </w:t>
      </w:r>
    </w:p>
    <w:p w14:paraId="23380EC0" w14:textId="77777777" w:rsidR="00CC0C8C" w:rsidRPr="003A2AFC" w:rsidRDefault="00CC0C8C" w:rsidP="00CC0C8C">
      <w:pPr>
        <w:pStyle w:val="ListParagraph"/>
        <w:spacing w:line="240" w:lineRule="auto"/>
        <w:ind w:left="714"/>
        <w:contextualSpacing w:val="0"/>
        <w:rPr>
          <w:rFonts w:ascii="Arial" w:hAnsi="Arial" w:cs="Arial"/>
        </w:rPr>
      </w:pPr>
      <w:r w:rsidRPr="003A2AFC">
        <w:rPr>
          <w:rFonts w:ascii="Arial" w:hAnsi="Arial" w:cs="Arial"/>
        </w:rPr>
        <w:t xml:space="preserve">There is, however, some evidence of compliance and it is likely that either (a) the appropriate evidence can be supplied in a short time frame, or, (b) any deficiencies identified can be addressed and evidenced in </w:t>
      </w:r>
      <w:r>
        <w:rPr>
          <w:rFonts w:ascii="Arial" w:hAnsi="Arial" w:cs="Arial"/>
        </w:rPr>
        <w:t>follow-up</w:t>
      </w:r>
      <w:r w:rsidRPr="003A2AFC">
        <w:rPr>
          <w:rFonts w:ascii="Arial" w:hAnsi="Arial" w:cs="Arial"/>
        </w:rPr>
        <w:t xml:space="preserve"> process</w:t>
      </w:r>
      <w:r>
        <w:rPr>
          <w:rFonts w:ascii="Arial" w:hAnsi="Arial" w:cs="Arial"/>
        </w:rPr>
        <w:t>es.</w:t>
      </w:r>
    </w:p>
    <w:p w14:paraId="389AA15C" w14:textId="737FD18C" w:rsidR="00CC0C8C" w:rsidRPr="003A2AFC" w:rsidRDefault="00CC0C8C" w:rsidP="00A90DA5">
      <w:pPr>
        <w:pStyle w:val="ListParagraph"/>
        <w:spacing w:line="240" w:lineRule="auto"/>
        <w:ind w:left="714"/>
        <w:contextualSpacing w:val="0"/>
        <w:rPr>
          <w:rFonts w:ascii="Arial" w:hAnsi="Arial" w:cs="Arial"/>
        </w:rPr>
      </w:pPr>
      <w:r w:rsidRPr="003A2AFC">
        <w:rPr>
          <w:rFonts w:ascii="Arial" w:hAnsi="Arial" w:cs="Arial"/>
        </w:rPr>
        <w:t xml:space="preserve">A Requirement is </w:t>
      </w:r>
      <w:r w:rsidR="00A90DA5" w:rsidRPr="00A90DA5">
        <w:rPr>
          <w:rFonts w:ascii="Arial" w:hAnsi="Arial" w:cs="Arial"/>
          <w:b/>
          <w:bCs/>
        </w:rPr>
        <w:t>N</w:t>
      </w:r>
      <w:r w:rsidRPr="00A90DA5">
        <w:rPr>
          <w:rFonts w:ascii="Arial" w:hAnsi="Arial" w:cs="Arial"/>
          <w:b/>
          <w:bCs/>
        </w:rPr>
        <w:t>ot</w:t>
      </w:r>
      <w:r w:rsidRPr="003A2AFC">
        <w:rPr>
          <w:rFonts w:ascii="Arial" w:hAnsi="Arial" w:cs="Arial"/>
          <w:b/>
        </w:rPr>
        <w:t xml:space="preserve"> </w:t>
      </w:r>
      <w:r w:rsidR="00A90DA5">
        <w:rPr>
          <w:rFonts w:ascii="Arial" w:hAnsi="Arial" w:cs="Arial"/>
          <w:b/>
        </w:rPr>
        <w:t>M</w:t>
      </w:r>
      <w:r w:rsidRPr="003A2AFC">
        <w:rPr>
          <w:rFonts w:ascii="Arial" w:hAnsi="Arial" w:cs="Arial"/>
          <w:b/>
        </w:rPr>
        <w:t xml:space="preserve">et </w:t>
      </w:r>
      <w:r w:rsidRPr="003A2AFC">
        <w:rPr>
          <w:rFonts w:ascii="Arial" w:hAnsi="Arial" w:cs="Arial"/>
        </w:rPr>
        <w:t>if:</w:t>
      </w:r>
    </w:p>
    <w:p w14:paraId="1F2D1673" w14:textId="77777777" w:rsidR="00CC0C8C" w:rsidRDefault="00CC0C8C" w:rsidP="00CC0C8C">
      <w:pPr>
        <w:pStyle w:val="ListParagraph"/>
        <w:spacing w:line="240" w:lineRule="auto"/>
        <w:ind w:left="714"/>
        <w:contextualSpacing w:val="0"/>
        <w:rPr>
          <w:rFonts w:ascii="Arial" w:hAnsi="Arial" w:cs="Arial"/>
        </w:rPr>
      </w:pPr>
      <w:r w:rsidRPr="003A2AFC">
        <w:rPr>
          <w:rFonts w:ascii="Arial" w:hAnsi="Arial" w:cs="Arial"/>
        </w:rPr>
        <w:t xml:space="preserve">The provider cannot provide evidence to demonstrate </w:t>
      </w:r>
      <w:r>
        <w:rPr>
          <w:rFonts w:ascii="Arial" w:hAnsi="Arial" w:cs="Arial"/>
        </w:rPr>
        <w:t xml:space="preserve">compliance with </w:t>
      </w:r>
      <w:r w:rsidRPr="003A2AFC">
        <w:rPr>
          <w:rFonts w:ascii="Arial" w:hAnsi="Arial" w:cs="Arial"/>
        </w:rPr>
        <w:t xml:space="preserve">a </w:t>
      </w:r>
      <w:r>
        <w:rPr>
          <w:rFonts w:ascii="Arial" w:hAnsi="Arial" w:cs="Arial"/>
        </w:rPr>
        <w:t>r</w:t>
      </w:r>
      <w:r w:rsidRPr="003A2AFC">
        <w:rPr>
          <w:rFonts w:ascii="Arial" w:hAnsi="Arial" w:cs="Arial"/>
        </w:rPr>
        <w:t xml:space="preserve">equirement or the </w:t>
      </w:r>
      <w:r>
        <w:rPr>
          <w:rFonts w:ascii="Arial" w:hAnsi="Arial" w:cs="Arial"/>
        </w:rPr>
        <w:t xml:space="preserve">narrative and </w:t>
      </w:r>
      <w:r w:rsidRPr="003A2AFC">
        <w:rPr>
          <w:rFonts w:ascii="Arial" w:hAnsi="Arial" w:cs="Arial"/>
        </w:rPr>
        <w:t xml:space="preserve">evidence provided </w:t>
      </w:r>
      <w:r>
        <w:rPr>
          <w:rFonts w:ascii="Arial" w:hAnsi="Arial" w:cs="Arial"/>
        </w:rPr>
        <w:t>are</w:t>
      </w:r>
      <w:r w:rsidRPr="003A2AFC">
        <w:rPr>
          <w:rFonts w:ascii="Arial" w:hAnsi="Arial" w:cs="Arial"/>
        </w:rPr>
        <w:t xml:space="preserve"> not convincing. </w:t>
      </w:r>
    </w:p>
    <w:p w14:paraId="1FC2ECF5" w14:textId="77777777" w:rsidR="00CC0C8C" w:rsidRPr="00836CDF" w:rsidRDefault="00CC0C8C" w:rsidP="00CC0C8C">
      <w:pPr>
        <w:pStyle w:val="ListParagraph"/>
        <w:spacing w:line="240" w:lineRule="auto"/>
        <w:ind w:left="714"/>
        <w:contextualSpacing w:val="0"/>
        <w:rPr>
          <w:rFonts w:ascii="Arial" w:hAnsi="Arial" w:cs="Arial"/>
        </w:rPr>
      </w:pPr>
      <w:r w:rsidRPr="003A2AFC">
        <w:rPr>
          <w:rFonts w:ascii="Arial" w:hAnsi="Arial" w:cs="Arial"/>
        </w:rPr>
        <w:t xml:space="preserve">The evidence is inconsistent and/or incompatible with other findings. The deficiencies identified are such as to give rise to concern and will require an action plan from the </w:t>
      </w:r>
      <w:r>
        <w:rPr>
          <w:rFonts w:ascii="Arial" w:hAnsi="Arial" w:cs="Arial"/>
        </w:rPr>
        <w:t xml:space="preserve">programme </w:t>
      </w:r>
      <w:r w:rsidRPr="00836CDF">
        <w:rPr>
          <w:rFonts w:ascii="Arial" w:hAnsi="Arial" w:cs="Arial"/>
        </w:rPr>
        <w:t xml:space="preserve">provider. </w:t>
      </w:r>
    </w:p>
    <w:p w14:paraId="140928CE" w14:textId="233E063F" w:rsidR="00CC0C8C" w:rsidRPr="00A90DA5" w:rsidRDefault="00CC0C8C" w:rsidP="00A90DA5">
      <w:pPr>
        <w:pStyle w:val="ListParagraph"/>
        <w:spacing w:line="240" w:lineRule="auto"/>
        <w:ind w:left="714"/>
        <w:contextualSpacing w:val="0"/>
        <w:rPr>
          <w:rFonts w:ascii="Arial" w:hAnsi="Arial" w:cs="Arial"/>
          <w:b/>
          <w:bCs/>
        </w:rPr>
      </w:pPr>
      <w:r w:rsidRPr="00A90DA5">
        <w:rPr>
          <w:rFonts w:ascii="Arial" w:hAnsi="Arial" w:cs="Arial"/>
          <w:b/>
          <w:bCs/>
        </w:rPr>
        <w:t>Other</w:t>
      </w:r>
      <w:r w:rsidR="00A90DA5">
        <w:rPr>
          <w:rFonts w:ascii="Arial" w:hAnsi="Arial" w:cs="Arial"/>
          <w:b/>
          <w:bCs/>
        </w:rPr>
        <w:t>:</w:t>
      </w:r>
    </w:p>
    <w:p w14:paraId="3E6F2A59" w14:textId="3FBFB2C1" w:rsidR="00CC0C8C" w:rsidRDefault="00CC0C8C" w:rsidP="00CC0C8C">
      <w:pPr>
        <w:pStyle w:val="ListParagraph"/>
        <w:spacing w:line="240" w:lineRule="auto"/>
        <w:ind w:left="714"/>
        <w:contextualSpacing w:val="0"/>
        <w:rPr>
          <w:rFonts w:ascii="Arial" w:hAnsi="Arial" w:cs="Arial"/>
        </w:rPr>
      </w:pPr>
      <w:r>
        <w:rPr>
          <w:rFonts w:ascii="Arial" w:hAnsi="Arial" w:cs="Arial"/>
        </w:rPr>
        <w:t xml:space="preserve">Use of this descriptor is exceptional and will usually be applied if the provider’s narrative and evidence would be considered </w:t>
      </w:r>
      <w:r w:rsidR="00A90DA5">
        <w:rPr>
          <w:rFonts w:ascii="Arial" w:hAnsi="Arial" w:cs="Arial"/>
          <w:b/>
          <w:bCs/>
        </w:rPr>
        <w:t>P</w:t>
      </w:r>
      <w:r w:rsidRPr="00C70CBC">
        <w:rPr>
          <w:rFonts w:ascii="Arial" w:hAnsi="Arial" w:cs="Arial"/>
          <w:b/>
          <w:bCs/>
        </w:rPr>
        <w:t xml:space="preserve">artly </w:t>
      </w:r>
      <w:r w:rsidR="00A90DA5">
        <w:rPr>
          <w:rFonts w:ascii="Arial" w:hAnsi="Arial" w:cs="Arial"/>
          <w:b/>
          <w:bCs/>
        </w:rPr>
        <w:t>M</w:t>
      </w:r>
      <w:r w:rsidRPr="00C70CBC">
        <w:rPr>
          <w:rFonts w:ascii="Arial" w:hAnsi="Arial" w:cs="Arial"/>
          <w:b/>
          <w:bCs/>
        </w:rPr>
        <w:t>et</w:t>
      </w:r>
      <w:r>
        <w:rPr>
          <w:rFonts w:ascii="Arial" w:hAnsi="Arial" w:cs="Arial"/>
        </w:rPr>
        <w:t xml:space="preserve"> but it appears to the GDC that evidence and/or indications across the breadth of the submission mean that during the observations period of the EQA process this requirement can be </w:t>
      </w:r>
      <w:r w:rsidR="00A90DA5">
        <w:rPr>
          <w:rFonts w:ascii="Arial" w:hAnsi="Arial" w:cs="Arial"/>
          <w:b/>
          <w:bCs/>
        </w:rPr>
        <w:t>M</w:t>
      </w:r>
      <w:r w:rsidRPr="007A2DD2">
        <w:rPr>
          <w:rFonts w:ascii="Arial" w:hAnsi="Arial" w:cs="Arial"/>
          <w:b/>
          <w:bCs/>
        </w:rPr>
        <w:t>et</w:t>
      </w:r>
      <w:r>
        <w:rPr>
          <w:rFonts w:ascii="Arial" w:hAnsi="Arial" w:cs="Arial"/>
        </w:rPr>
        <w:t>.</w:t>
      </w:r>
    </w:p>
    <w:p w14:paraId="49B8650F" w14:textId="77777777" w:rsidR="00CC0C8C" w:rsidRDefault="00CC0C8C" w:rsidP="00897BF2">
      <w:pPr>
        <w:numPr>
          <w:ilvl w:val="0"/>
          <w:numId w:val="3"/>
        </w:numPr>
        <w:spacing w:after="200" w:line="240" w:lineRule="auto"/>
        <w:ind w:left="357" w:hanging="357"/>
        <w:rPr>
          <w:rFonts w:ascii="Arial" w:hAnsi="Arial" w:cs="Arial"/>
        </w:rPr>
      </w:pPr>
      <w:r w:rsidRPr="003A2AFC">
        <w:rPr>
          <w:rFonts w:ascii="Arial" w:hAnsi="Arial" w:cs="Arial"/>
        </w:rPr>
        <w:t xml:space="preserve">The </w:t>
      </w:r>
      <w:r>
        <w:rPr>
          <w:rFonts w:ascii="Arial" w:hAnsi="Arial" w:cs="Arial"/>
        </w:rPr>
        <w:t>significance</w:t>
      </w:r>
      <w:r w:rsidRPr="003A2AFC">
        <w:rPr>
          <w:rFonts w:ascii="Arial" w:hAnsi="Arial" w:cs="Arial"/>
        </w:rPr>
        <w:t xml:space="preserve"> of not </w:t>
      </w:r>
      <w:r>
        <w:rPr>
          <w:rFonts w:ascii="Arial" w:hAnsi="Arial" w:cs="Arial"/>
        </w:rPr>
        <w:t>demonstrating compliance with a r</w:t>
      </w:r>
      <w:r w:rsidRPr="003A2AFC">
        <w:rPr>
          <w:rFonts w:ascii="Arial" w:hAnsi="Arial" w:cs="Arial"/>
        </w:rPr>
        <w:t xml:space="preserve">equirement will depend upon the compliance of the </w:t>
      </w:r>
      <w:r>
        <w:rPr>
          <w:rFonts w:ascii="Arial" w:hAnsi="Arial" w:cs="Arial"/>
        </w:rPr>
        <w:t xml:space="preserve">programme </w:t>
      </w:r>
      <w:r w:rsidRPr="003A2AFC">
        <w:rPr>
          <w:rFonts w:ascii="Arial" w:hAnsi="Arial" w:cs="Arial"/>
        </w:rPr>
        <w:t xml:space="preserve">provider across the range of </w:t>
      </w:r>
      <w:r>
        <w:rPr>
          <w:rFonts w:ascii="Arial" w:hAnsi="Arial" w:cs="Arial"/>
        </w:rPr>
        <w:t>r</w:t>
      </w:r>
      <w:r w:rsidRPr="003A2AFC">
        <w:rPr>
          <w:rFonts w:ascii="Arial" w:hAnsi="Arial" w:cs="Arial"/>
        </w:rPr>
        <w:t xml:space="preserve">equirements and </w:t>
      </w:r>
      <w:r>
        <w:rPr>
          <w:rFonts w:ascii="Arial" w:hAnsi="Arial" w:cs="Arial"/>
        </w:rPr>
        <w:t>any</w:t>
      </w:r>
      <w:r w:rsidRPr="003A2AFC">
        <w:rPr>
          <w:rFonts w:ascii="Arial" w:hAnsi="Arial" w:cs="Arial"/>
        </w:rPr>
        <w:t xml:space="preserve"> possible implications for public protection.</w:t>
      </w:r>
    </w:p>
    <w:p w14:paraId="4209CA4A" w14:textId="38396B88" w:rsidR="00CC0C8C" w:rsidRDefault="00CC0C8C" w:rsidP="00897BF2">
      <w:pPr>
        <w:numPr>
          <w:ilvl w:val="0"/>
          <w:numId w:val="3"/>
        </w:numPr>
        <w:spacing w:after="200" w:line="240" w:lineRule="auto"/>
        <w:ind w:left="357" w:hanging="357"/>
        <w:rPr>
          <w:rFonts w:ascii="Arial" w:hAnsi="Arial" w:cs="Arial"/>
        </w:rPr>
      </w:pPr>
      <w:r>
        <w:rPr>
          <w:rFonts w:ascii="Arial" w:hAnsi="Arial" w:cs="Arial"/>
        </w:rPr>
        <w:t xml:space="preserve">Outcomes from the pilot specialty </w:t>
      </w:r>
      <w:r w:rsidR="00A90DA5">
        <w:rPr>
          <w:rFonts w:ascii="Arial" w:hAnsi="Arial" w:cs="Arial"/>
        </w:rPr>
        <w:t>E</w:t>
      </w:r>
      <w:r>
        <w:rPr>
          <w:rFonts w:ascii="Arial" w:hAnsi="Arial" w:cs="Arial"/>
        </w:rPr>
        <w:t>QA exercise typically fell into two categories of follow-up action:</w:t>
      </w:r>
    </w:p>
    <w:p w14:paraId="0CA24A8F" w14:textId="77777777" w:rsidR="00CC0C8C" w:rsidRDefault="00CC0C8C" w:rsidP="00897BF2">
      <w:pPr>
        <w:numPr>
          <w:ilvl w:val="0"/>
          <w:numId w:val="5"/>
        </w:numPr>
        <w:spacing w:after="200" w:line="240" w:lineRule="auto"/>
        <w:rPr>
          <w:rFonts w:ascii="Arial" w:hAnsi="Arial" w:cs="Arial"/>
        </w:rPr>
      </w:pPr>
      <w:r>
        <w:rPr>
          <w:rFonts w:ascii="Arial" w:hAnsi="Arial" w:cs="Arial"/>
        </w:rPr>
        <w:lastRenderedPageBreak/>
        <w:t>Where requirements were not fully met, the need for follow-up action (either submission of further evidence or clarification of self-assessment) that could normally be addressed by annual monitoring/updates.</w:t>
      </w:r>
    </w:p>
    <w:p w14:paraId="491302FA" w14:textId="42488F67" w:rsidR="00CC0C8C" w:rsidRDefault="00CC0C8C" w:rsidP="00897BF2">
      <w:pPr>
        <w:numPr>
          <w:ilvl w:val="0"/>
          <w:numId w:val="5"/>
        </w:numPr>
        <w:spacing w:after="200" w:line="240" w:lineRule="auto"/>
        <w:rPr>
          <w:rFonts w:ascii="Arial" w:hAnsi="Arial" w:cs="Arial"/>
        </w:rPr>
      </w:pPr>
      <w:r>
        <w:rPr>
          <w:rFonts w:ascii="Arial" w:hAnsi="Arial" w:cs="Arial"/>
        </w:rPr>
        <w:t xml:space="preserve">Joint action between the provider and the GDC to capture good practice (where requirements were met) to further inform the evidence prompts within the Standards and so to provide additional guidance for future specialty </w:t>
      </w:r>
      <w:r w:rsidR="00A90DA5">
        <w:rPr>
          <w:rFonts w:ascii="Arial" w:hAnsi="Arial" w:cs="Arial"/>
        </w:rPr>
        <w:t>E</w:t>
      </w:r>
      <w:r>
        <w:rPr>
          <w:rFonts w:ascii="Arial" w:hAnsi="Arial" w:cs="Arial"/>
        </w:rPr>
        <w:t xml:space="preserve">QA activity. </w:t>
      </w:r>
    </w:p>
    <w:p w14:paraId="602E2C74" w14:textId="77777777" w:rsidR="00D331B5" w:rsidRPr="00E54A44" w:rsidRDefault="00D331B5" w:rsidP="00CC0C8C">
      <w:pPr>
        <w:spacing w:line="240" w:lineRule="auto"/>
        <w:contextualSpacing/>
        <w:rPr>
          <w:rFonts w:ascii="Calibri" w:hAnsi="Calibri" w:cs="Calibri"/>
          <w:color w:val="1F3864" w:themeColor="accent1" w:themeShade="80"/>
          <w:sz w:val="28"/>
        </w:rPr>
      </w:pPr>
    </w:p>
    <w:sectPr w:rsidR="00D331B5" w:rsidRPr="00E54A44" w:rsidSect="00BB0BE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EC6B1" w14:textId="77777777" w:rsidR="000264B4" w:rsidRDefault="000264B4">
      <w:pPr>
        <w:spacing w:after="0" w:line="240" w:lineRule="auto"/>
      </w:pPr>
      <w:r>
        <w:separator/>
      </w:r>
    </w:p>
  </w:endnote>
  <w:endnote w:type="continuationSeparator" w:id="0">
    <w:p w14:paraId="1F320D7A" w14:textId="77777777" w:rsidR="000264B4" w:rsidRDefault="000264B4">
      <w:pPr>
        <w:spacing w:after="0" w:line="240" w:lineRule="auto"/>
      </w:pPr>
      <w:r>
        <w:continuationSeparator/>
      </w:r>
    </w:p>
  </w:endnote>
  <w:endnote w:type="continuationNotice" w:id="1">
    <w:p w14:paraId="3500D75C" w14:textId="77777777" w:rsidR="000264B4" w:rsidRDefault="000264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739157"/>
      <w:docPartObj>
        <w:docPartGallery w:val="Page Numbers (Bottom of Page)"/>
        <w:docPartUnique/>
      </w:docPartObj>
    </w:sdtPr>
    <w:sdtEndPr>
      <w:rPr>
        <w:noProof/>
      </w:rPr>
    </w:sdtEndPr>
    <w:sdtContent>
      <w:p w14:paraId="6CA77592" w14:textId="5BD38695" w:rsidR="007562DC" w:rsidRDefault="007562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605E19" w14:textId="77777777" w:rsidR="007562DC" w:rsidRDefault="00756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E52E" w14:textId="77777777" w:rsidR="000264B4" w:rsidRDefault="000264B4">
      <w:pPr>
        <w:spacing w:after="0" w:line="240" w:lineRule="auto"/>
      </w:pPr>
      <w:r>
        <w:separator/>
      </w:r>
    </w:p>
  </w:footnote>
  <w:footnote w:type="continuationSeparator" w:id="0">
    <w:p w14:paraId="02EE34B7" w14:textId="77777777" w:rsidR="000264B4" w:rsidRDefault="000264B4">
      <w:pPr>
        <w:spacing w:after="0" w:line="240" w:lineRule="auto"/>
      </w:pPr>
      <w:r>
        <w:continuationSeparator/>
      </w:r>
    </w:p>
  </w:footnote>
  <w:footnote w:type="continuationNotice" w:id="1">
    <w:p w14:paraId="6211A7F4" w14:textId="77777777" w:rsidR="000264B4" w:rsidRDefault="000264B4">
      <w:pPr>
        <w:spacing w:after="0" w:line="240" w:lineRule="auto"/>
      </w:pPr>
    </w:p>
  </w:footnote>
  <w:footnote w:id="2">
    <w:p w14:paraId="79469396" w14:textId="77777777" w:rsidR="007562DC" w:rsidRDefault="007562DC" w:rsidP="00CC0C8C"/>
    <w:p w14:paraId="2398C958" w14:textId="77777777" w:rsidR="007562DC" w:rsidRDefault="007562DC" w:rsidP="00CC0C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237"/>
    <w:multiLevelType w:val="hybridMultilevel"/>
    <w:tmpl w:val="AF362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D1490"/>
    <w:multiLevelType w:val="hybridMultilevel"/>
    <w:tmpl w:val="F4B69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0481E"/>
    <w:multiLevelType w:val="hybridMultilevel"/>
    <w:tmpl w:val="1D802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F4365"/>
    <w:multiLevelType w:val="hybridMultilevel"/>
    <w:tmpl w:val="DE3067C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2B3127B"/>
    <w:multiLevelType w:val="hybridMultilevel"/>
    <w:tmpl w:val="637C2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DD77F6"/>
    <w:multiLevelType w:val="hybridMultilevel"/>
    <w:tmpl w:val="C6D206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E764DD"/>
    <w:multiLevelType w:val="hybridMultilevel"/>
    <w:tmpl w:val="68341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417A9"/>
    <w:multiLevelType w:val="hybridMultilevel"/>
    <w:tmpl w:val="39C8037E"/>
    <w:lvl w:ilvl="0" w:tplc="720A580A">
      <w:start w:val="1"/>
      <w:numFmt w:val="decimal"/>
      <w:lvlText w:val="%1."/>
      <w:lvlJc w:val="left"/>
      <w:pPr>
        <w:ind w:left="720" w:hanging="360"/>
      </w:pPr>
      <w:rPr>
        <w:rFonts w:ascii="Arial" w:eastAsiaTheme="minorHAnsi" w:hAnsi="Arial" w:cs="Arial"/>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9F506E"/>
    <w:multiLevelType w:val="hybridMultilevel"/>
    <w:tmpl w:val="4C8646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8D50A4"/>
    <w:multiLevelType w:val="hybridMultilevel"/>
    <w:tmpl w:val="BA3C2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4C3D3E"/>
    <w:multiLevelType w:val="multilevel"/>
    <w:tmpl w:val="CCEE5EDE"/>
    <w:lvl w:ilvl="0">
      <w:start w:val="1"/>
      <w:numFmt w:val="decimal"/>
      <w:pStyle w:val="PKFHeading1Numbered"/>
      <w:lvlText w:val="%1"/>
      <w:lvlJc w:val="left"/>
      <w:pPr>
        <w:tabs>
          <w:tab w:val="num" w:pos="851"/>
        </w:tabs>
        <w:ind w:left="851" w:hanging="851"/>
      </w:pPr>
    </w:lvl>
    <w:lvl w:ilvl="1">
      <w:start w:val="1"/>
      <w:numFmt w:val="decimal"/>
      <w:pStyle w:val="PKFNormalNumbered"/>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lowerRoman"/>
      <w:lvlText w:val="(%5)"/>
      <w:lvlJc w:val="left"/>
      <w:pPr>
        <w:tabs>
          <w:tab w:val="num" w:pos="1418"/>
        </w:tabs>
        <w:ind w:left="1418" w:hanging="567"/>
      </w:p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11" w15:restartNumberingAfterBreak="0">
    <w:nsid w:val="39A6588A"/>
    <w:multiLevelType w:val="hybridMultilevel"/>
    <w:tmpl w:val="53EE66FC"/>
    <w:lvl w:ilvl="0" w:tplc="D2465014">
      <w:start w:val="1"/>
      <w:numFmt w:val="decimal"/>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241808"/>
    <w:multiLevelType w:val="hybridMultilevel"/>
    <w:tmpl w:val="2E60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CF1E66"/>
    <w:multiLevelType w:val="hybridMultilevel"/>
    <w:tmpl w:val="DE3067C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38F6D44"/>
    <w:multiLevelType w:val="hybridMultilevel"/>
    <w:tmpl w:val="2D464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620C0F"/>
    <w:multiLevelType w:val="hybridMultilevel"/>
    <w:tmpl w:val="5C604D60"/>
    <w:lvl w:ilvl="0" w:tplc="8558E7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82CA3"/>
    <w:multiLevelType w:val="hybridMultilevel"/>
    <w:tmpl w:val="1BF25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4C30BB"/>
    <w:multiLevelType w:val="hybridMultilevel"/>
    <w:tmpl w:val="0FE2BF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D725143"/>
    <w:multiLevelType w:val="hybridMultilevel"/>
    <w:tmpl w:val="95661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abstractNumId w:val="11"/>
  </w:num>
  <w:num w:numId="3">
    <w:abstractNumId w:val="7"/>
  </w:num>
  <w:num w:numId="4">
    <w:abstractNumId w:val="13"/>
  </w:num>
  <w:num w:numId="5">
    <w:abstractNumId w:val="3"/>
  </w:num>
  <w:num w:numId="6">
    <w:abstractNumId w:val="15"/>
  </w:num>
  <w:num w:numId="7">
    <w:abstractNumId w:val="12"/>
  </w:num>
  <w:num w:numId="8">
    <w:abstractNumId w:val="14"/>
  </w:num>
  <w:num w:numId="9">
    <w:abstractNumId w:val="2"/>
  </w:num>
  <w:num w:numId="10">
    <w:abstractNumId w:val="17"/>
  </w:num>
  <w:num w:numId="11">
    <w:abstractNumId w:val="6"/>
  </w:num>
  <w:num w:numId="12">
    <w:abstractNumId w:val="8"/>
  </w:num>
  <w:num w:numId="13">
    <w:abstractNumId w:val="1"/>
  </w:num>
  <w:num w:numId="14">
    <w:abstractNumId w:val="0"/>
  </w:num>
  <w:num w:numId="15">
    <w:abstractNumId w:val="16"/>
  </w:num>
  <w:num w:numId="16">
    <w:abstractNumId w:val="9"/>
  </w:num>
  <w:num w:numId="17">
    <w:abstractNumId w:val="5"/>
  </w:num>
  <w:num w:numId="18">
    <w:abstractNumId w:val="4"/>
  </w:num>
  <w:num w:numId="1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25"/>
    <w:rsid w:val="00000565"/>
    <w:rsid w:val="00000B75"/>
    <w:rsid w:val="0000102B"/>
    <w:rsid w:val="00002085"/>
    <w:rsid w:val="00002835"/>
    <w:rsid w:val="0000445E"/>
    <w:rsid w:val="0002131C"/>
    <w:rsid w:val="000224C9"/>
    <w:rsid w:val="000227C6"/>
    <w:rsid w:val="00023BF4"/>
    <w:rsid w:val="000241E4"/>
    <w:rsid w:val="0002478D"/>
    <w:rsid w:val="00025C26"/>
    <w:rsid w:val="00026436"/>
    <w:rsid w:val="000264B4"/>
    <w:rsid w:val="000268C8"/>
    <w:rsid w:val="00026A06"/>
    <w:rsid w:val="000318C9"/>
    <w:rsid w:val="00032968"/>
    <w:rsid w:val="00033E60"/>
    <w:rsid w:val="00036B80"/>
    <w:rsid w:val="0003751A"/>
    <w:rsid w:val="00037AC5"/>
    <w:rsid w:val="00037F88"/>
    <w:rsid w:val="000403B9"/>
    <w:rsid w:val="0004225B"/>
    <w:rsid w:val="00044313"/>
    <w:rsid w:val="00045AE1"/>
    <w:rsid w:val="00050FA6"/>
    <w:rsid w:val="00051F2E"/>
    <w:rsid w:val="0005418F"/>
    <w:rsid w:val="00056099"/>
    <w:rsid w:val="000561ED"/>
    <w:rsid w:val="00056E54"/>
    <w:rsid w:val="00057086"/>
    <w:rsid w:val="000575F8"/>
    <w:rsid w:val="00057D19"/>
    <w:rsid w:val="00060732"/>
    <w:rsid w:val="00060CFD"/>
    <w:rsid w:val="00061C57"/>
    <w:rsid w:val="000620E1"/>
    <w:rsid w:val="00062202"/>
    <w:rsid w:val="00062A03"/>
    <w:rsid w:val="00062C2F"/>
    <w:rsid w:val="00065F52"/>
    <w:rsid w:val="00066304"/>
    <w:rsid w:val="00067727"/>
    <w:rsid w:val="00072B60"/>
    <w:rsid w:val="000737ED"/>
    <w:rsid w:val="00074885"/>
    <w:rsid w:val="000749D5"/>
    <w:rsid w:val="00074A45"/>
    <w:rsid w:val="00076E70"/>
    <w:rsid w:val="00076EE4"/>
    <w:rsid w:val="00080CCD"/>
    <w:rsid w:val="00082F5C"/>
    <w:rsid w:val="000850BD"/>
    <w:rsid w:val="00086193"/>
    <w:rsid w:val="00086DA3"/>
    <w:rsid w:val="0009369F"/>
    <w:rsid w:val="0009415E"/>
    <w:rsid w:val="000957F1"/>
    <w:rsid w:val="00097453"/>
    <w:rsid w:val="00097B1B"/>
    <w:rsid w:val="000A06F3"/>
    <w:rsid w:val="000A121B"/>
    <w:rsid w:val="000A363A"/>
    <w:rsid w:val="000A39D7"/>
    <w:rsid w:val="000A3EC0"/>
    <w:rsid w:val="000A489C"/>
    <w:rsid w:val="000A49F4"/>
    <w:rsid w:val="000A4E14"/>
    <w:rsid w:val="000A6A4E"/>
    <w:rsid w:val="000A6B5B"/>
    <w:rsid w:val="000B01C7"/>
    <w:rsid w:val="000B2702"/>
    <w:rsid w:val="000B30CA"/>
    <w:rsid w:val="000B5F53"/>
    <w:rsid w:val="000B699D"/>
    <w:rsid w:val="000B6F1B"/>
    <w:rsid w:val="000B73EA"/>
    <w:rsid w:val="000B7998"/>
    <w:rsid w:val="000B7DC2"/>
    <w:rsid w:val="000C0135"/>
    <w:rsid w:val="000C0A5D"/>
    <w:rsid w:val="000C12F9"/>
    <w:rsid w:val="000C1A7E"/>
    <w:rsid w:val="000C2E1B"/>
    <w:rsid w:val="000C4BB5"/>
    <w:rsid w:val="000C52A8"/>
    <w:rsid w:val="000C5D55"/>
    <w:rsid w:val="000C5D8C"/>
    <w:rsid w:val="000C5FBE"/>
    <w:rsid w:val="000C6977"/>
    <w:rsid w:val="000D23AA"/>
    <w:rsid w:val="000D2B8B"/>
    <w:rsid w:val="000D31F5"/>
    <w:rsid w:val="000D337E"/>
    <w:rsid w:val="000D5611"/>
    <w:rsid w:val="000D576A"/>
    <w:rsid w:val="000D5948"/>
    <w:rsid w:val="000D5F8E"/>
    <w:rsid w:val="000D64C3"/>
    <w:rsid w:val="000D7147"/>
    <w:rsid w:val="000E346C"/>
    <w:rsid w:val="000E3F78"/>
    <w:rsid w:val="000E42EB"/>
    <w:rsid w:val="000E459C"/>
    <w:rsid w:val="000E4637"/>
    <w:rsid w:val="000E5A0F"/>
    <w:rsid w:val="000F0CF4"/>
    <w:rsid w:val="000F6E78"/>
    <w:rsid w:val="000F732D"/>
    <w:rsid w:val="000F7378"/>
    <w:rsid w:val="001005DB"/>
    <w:rsid w:val="00100B6C"/>
    <w:rsid w:val="00102531"/>
    <w:rsid w:val="00106348"/>
    <w:rsid w:val="00107302"/>
    <w:rsid w:val="00107675"/>
    <w:rsid w:val="001076D7"/>
    <w:rsid w:val="0010773D"/>
    <w:rsid w:val="00107CC7"/>
    <w:rsid w:val="00107E69"/>
    <w:rsid w:val="001113F6"/>
    <w:rsid w:val="0011247E"/>
    <w:rsid w:val="0011337F"/>
    <w:rsid w:val="00114853"/>
    <w:rsid w:val="001162BA"/>
    <w:rsid w:val="001162DC"/>
    <w:rsid w:val="001173E6"/>
    <w:rsid w:val="00117531"/>
    <w:rsid w:val="001178DF"/>
    <w:rsid w:val="001178E0"/>
    <w:rsid w:val="00120C75"/>
    <w:rsid w:val="00121834"/>
    <w:rsid w:val="001221E6"/>
    <w:rsid w:val="001229E4"/>
    <w:rsid w:val="00123177"/>
    <w:rsid w:val="001248BE"/>
    <w:rsid w:val="00125EA1"/>
    <w:rsid w:val="00126BC1"/>
    <w:rsid w:val="00127A9E"/>
    <w:rsid w:val="0013067E"/>
    <w:rsid w:val="00133413"/>
    <w:rsid w:val="00134530"/>
    <w:rsid w:val="00134A1F"/>
    <w:rsid w:val="00135045"/>
    <w:rsid w:val="0013578D"/>
    <w:rsid w:val="00135E5B"/>
    <w:rsid w:val="00136CE6"/>
    <w:rsid w:val="0013708A"/>
    <w:rsid w:val="00140280"/>
    <w:rsid w:val="00141218"/>
    <w:rsid w:val="0014149B"/>
    <w:rsid w:val="00142CB7"/>
    <w:rsid w:val="00143716"/>
    <w:rsid w:val="0014407F"/>
    <w:rsid w:val="00146280"/>
    <w:rsid w:val="0014718F"/>
    <w:rsid w:val="001511A8"/>
    <w:rsid w:val="001511D2"/>
    <w:rsid w:val="0015160E"/>
    <w:rsid w:val="00151834"/>
    <w:rsid w:val="00151BC4"/>
    <w:rsid w:val="00152963"/>
    <w:rsid w:val="00152A4E"/>
    <w:rsid w:val="001537A1"/>
    <w:rsid w:val="00160F6B"/>
    <w:rsid w:val="001615B2"/>
    <w:rsid w:val="0016337F"/>
    <w:rsid w:val="00163E81"/>
    <w:rsid w:val="001646F6"/>
    <w:rsid w:val="00166086"/>
    <w:rsid w:val="00166ACB"/>
    <w:rsid w:val="00167614"/>
    <w:rsid w:val="001704CC"/>
    <w:rsid w:val="00172B83"/>
    <w:rsid w:val="00175CEB"/>
    <w:rsid w:val="001807F4"/>
    <w:rsid w:val="00182758"/>
    <w:rsid w:val="001847AF"/>
    <w:rsid w:val="00184CF5"/>
    <w:rsid w:val="00184FFB"/>
    <w:rsid w:val="00186710"/>
    <w:rsid w:val="0018681F"/>
    <w:rsid w:val="00186A1C"/>
    <w:rsid w:val="0019015A"/>
    <w:rsid w:val="0019199D"/>
    <w:rsid w:val="00192938"/>
    <w:rsid w:val="00192C36"/>
    <w:rsid w:val="001938DE"/>
    <w:rsid w:val="00193C54"/>
    <w:rsid w:val="0019441B"/>
    <w:rsid w:val="00196C8F"/>
    <w:rsid w:val="00196E2D"/>
    <w:rsid w:val="001A1325"/>
    <w:rsid w:val="001A14E1"/>
    <w:rsid w:val="001A49D8"/>
    <w:rsid w:val="001A6D3F"/>
    <w:rsid w:val="001A7883"/>
    <w:rsid w:val="001B4D01"/>
    <w:rsid w:val="001B5C2D"/>
    <w:rsid w:val="001B6101"/>
    <w:rsid w:val="001B7D7B"/>
    <w:rsid w:val="001C10A3"/>
    <w:rsid w:val="001C19B1"/>
    <w:rsid w:val="001C3C05"/>
    <w:rsid w:val="001C55B1"/>
    <w:rsid w:val="001C58F9"/>
    <w:rsid w:val="001C59A9"/>
    <w:rsid w:val="001C66C9"/>
    <w:rsid w:val="001C75F2"/>
    <w:rsid w:val="001C7E2A"/>
    <w:rsid w:val="001D0063"/>
    <w:rsid w:val="001D32F0"/>
    <w:rsid w:val="001D663D"/>
    <w:rsid w:val="001D6A98"/>
    <w:rsid w:val="001E00FC"/>
    <w:rsid w:val="001E0ABB"/>
    <w:rsid w:val="001E1AC7"/>
    <w:rsid w:val="001E4ED7"/>
    <w:rsid w:val="001E64A2"/>
    <w:rsid w:val="001E7BA8"/>
    <w:rsid w:val="001F04A8"/>
    <w:rsid w:val="001F2828"/>
    <w:rsid w:val="001F33D2"/>
    <w:rsid w:val="001F4375"/>
    <w:rsid w:val="001F473B"/>
    <w:rsid w:val="001F608F"/>
    <w:rsid w:val="00201768"/>
    <w:rsid w:val="00202610"/>
    <w:rsid w:val="00203EB9"/>
    <w:rsid w:val="00204D49"/>
    <w:rsid w:val="00204EAF"/>
    <w:rsid w:val="002051D8"/>
    <w:rsid w:val="00205E36"/>
    <w:rsid w:val="00206947"/>
    <w:rsid w:val="00206D66"/>
    <w:rsid w:val="00206F28"/>
    <w:rsid w:val="00210024"/>
    <w:rsid w:val="002208FD"/>
    <w:rsid w:val="00222CF1"/>
    <w:rsid w:val="002234B0"/>
    <w:rsid w:val="00225C42"/>
    <w:rsid w:val="00230C8C"/>
    <w:rsid w:val="0024017B"/>
    <w:rsid w:val="00240617"/>
    <w:rsid w:val="002427A1"/>
    <w:rsid w:val="00242AA4"/>
    <w:rsid w:val="0024626D"/>
    <w:rsid w:val="0025006A"/>
    <w:rsid w:val="00250ECC"/>
    <w:rsid w:val="00254209"/>
    <w:rsid w:val="0025425F"/>
    <w:rsid w:val="002543EB"/>
    <w:rsid w:val="002546AF"/>
    <w:rsid w:val="00255E79"/>
    <w:rsid w:val="00256C9C"/>
    <w:rsid w:val="00257865"/>
    <w:rsid w:val="00261DF6"/>
    <w:rsid w:val="00266F31"/>
    <w:rsid w:val="002675C3"/>
    <w:rsid w:val="002709D0"/>
    <w:rsid w:val="00272D3F"/>
    <w:rsid w:val="00273ADF"/>
    <w:rsid w:val="00274FC6"/>
    <w:rsid w:val="00275A6E"/>
    <w:rsid w:val="00276AD1"/>
    <w:rsid w:val="00276CF6"/>
    <w:rsid w:val="002804DD"/>
    <w:rsid w:val="00280DF3"/>
    <w:rsid w:val="00281887"/>
    <w:rsid w:val="00281AF4"/>
    <w:rsid w:val="002824FC"/>
    <w:rsid w:val="002854F8"/>
    <w:rsid w:val="00286A9A"/>
    <w:rsid w:val="002907B0"/>
    <w:rsid w:val="00292831"/>
    <w:rsid w:val="00294BFD"/>
    <w:rsid w:val="00295E35"/>
    <w:rsid w:val="002A1BFF"/>
    <w:rsid w:val="002A1F67"/>
    <w:rsid w:val="002A2AFB"/>
    <w:rsid w:val="002A2DAD"/>
    <w:rsid w:val="002A39BB"/>
    <w:rsid w:val="002A4341"/>
    <w:rsid w:val="002A48CB"/>
    <w:rsid w:val="002A634F"/>
    <w:rsid w:val="002A6543"/>
    <w:rsid w:val="002A6931"/>
    <w:rsid w:val="002A69FB"/>
    <w:rsid w:val="002A7EDE"/>
    <w:rsid w:val="002B038D"/>
    <w:rsid w:val="002B0554"/>
    <w:rsid w:val="002B19E8"/>
    <w:rsid w:val="002B2AF4"/>
    <w:rsid w:val="002B4FAA"/>
    <w:rsid w:val="002B59F2"/>
    <w:rsid w:val="002B6AE3"/>
    <w:rsid w:val="002C2D35"/>
    <w:rsid w:val="002C3562"/>
    <w:rsid w:val="002C490E"/>
    <w:rsid w:val="002C4954"/>
    <w:rsid w:val="002C4D95"/>
    <w:rsid w:val="002C6E99"/>
    <w:rsid w:val="002C6F42"/>
    <w:rsid w:val="002C7EC5"/>
    <w:rsid w:val="002D0317"/>
    <w:rsid w:val="002D07CE"/>
    <w:rsid w:val="002D2352"/>
    <w:rsid w:val="002D26D5"/>
    <w:rsid w:val="002D2768"/>
    <w:rsid w:val="002D2A81"/>
    <w:rsid w:val="002D3DB4"/>
    <w:rsid w:val="002E0BE0"/>
    <w:rsid w:val="002E3327"/>
    <w:rsid w:val="002E4C27"/>
    <w:rsid w:val="002E6E74"/>
    <w:rsid w:val="002F161B"/>
    <w:rsid w:val="002F17B7"/>
    <w:rsid w:val="002F23EA"/>
    <w:rsid w:val="002F3DEF"/>
    <w:rsid w:val="002F7219"/>
    <w:rsid w:val="00300145"/>
    <w:rsid w:val="003013CE"/>
    <w:rsid w:val="003015C4"/>
    <w:rsid w:val="00301C1E"/>
    <w:rsid w:val="003022BD"/>
    <w:rsid w:val="003050EC"/>
    <w:rsid w:val="00305105"/>
    <w:rsid w:val="00307CC4"/>
    <w:rsid w:val="00312E28"/>
    <w:rsid w:val="00313D0A"/>
    <w:rsid w:val="003142EA"/>
    <w:rsid w:val="00314D9E"/>
    <w:rsid w:val="00316FC9"/>
    <w:rsid w:val="00323837"/>
    <w:rsid w:val="00325ADE"/>
    <w:rsid w:val="00326014"/>
    <w:rsid w:val="00327254"/>
    <w:rsid w:val="003278A5"/>
    <w:rsid w:val="0033105C"/>
    <w:rsid w:val="00331400"/>
    <w:rsid w:val="0033343C"/>
    <w:rsid w:val="00334D11"/>
    <w:rsid w:val="00335EF6"/>
    <w:rsid w:val="003370A9"/>
    <w:rsid w:val="003373AC"/>
    <w:rsid w:val="0034249C"/>
    <w:rsid w:val="00342A76"/>
    <w:rsid w:val="00342CE1"/>
    <w:rsid w:val="0034445E"/>
    <w:rsid w:val="0034583F"/>
    <w:rsid w:val="00345F8B"/>
    <w:rsid w:val="00352F31"/>
    <w:rsid w:val="003545D7"/>
    <w:rsid w:val="003548F4"/>
    <w:rsid w:val="003556E2"/>
    <w:rsid w:val="0035631D"/>
    <w:rsid w:val="00360BAB"/>
    <w:rsid w:val="003610C9"/>
    <w:rsid w:val="00363340"/>
    <w:rsid w:val="00365487"/>
    <w:rsid w:val="00365945"/>
    <w:rsid w:val="00367A0B"/>
    <w:rsid w:val="00371D6E"/>
    <w:rsid w:val="00372A0D"/>
    <w:rsid w:val="0037429F"/>
    <w:rsid w:val="00380202"/>
    <w:rsid w:val="003808D7"/>
    <w:rsid w:val="00382F14"/>
    <w:rsid w:val="003830B2"/>
    <w:rsid w:val="0038522C"/>
    <w:rsid w:val="003854A3"/>
    <w:rsid w:val="00385ADB"/>
    <w:rsid w:val="00385F60"/>
    <w:rsid w:val="003902F0"/>
    <w:rsid w:val="00390572"/>
    <w:rsid w:val="0039070F"/>
    <w:rsid w:val="00393F58"/>
    <w:rsid w:val="00394BA7"/>
    <w:rsid w:val="003954B3"/>
    <w:rsid w:val="003A1505"/>
    <w:rsid w:val="003A1C9F"/>
    <w:rsid w:val="003A308C"/>
    <w:rsid w:val="003A4FD9"/>
    <w:rsid w:val="003A585B"/>
    <w:rsid w:val="003A68D0"/>
    <w:rsid w:val="003A7F97"/>
    <w:rsid w:val="003B0B2E"/>
    <w:rsid w:val="003B165D"/>
    <w:rsid w:val="003B6256"/>
    <w:rsid w:val="003B65D2"/>
    <w:rsid w:val="003C0693"/>
    <w:rsid w:val="003C0A05"/>
    <w:rsid w:val="003C149E"/>
    <w:rsid w:val="003C1BC3"/>
    <w:rsid w:val="003C7186"/>
    <w:rsid w:val="003D0028"/>
    <w:rsid w:val="003D13CB"/>
    <w:rsid w:val="003D1A44"/>
    <w:rsid w:val="003D2736"/>
    <w:rsid w:val="003D2B28"/>
    <w:rsid w:val="003D2D44"/>
    <w:rsid w:val="003E1768"/>
    <w:rsid w:val="003E3B6F"/>
    <w:rsid w:val="003E4F85"/>
    <w:rsid w:val="003E7B31"/>
    <w:rsid w:val="003F0565"/>
    <w:rsid w:val="003F0FF8"/>
    <w:rsid w:val="003F2D1E"/>
    <w:rsid w:val="003F2D5E"/>
    <w:rsid w:val="003F4AFE"/>
    <w:rsid w:val="003F7294"/>
    <w:rsid w:val="003F7BDE"/>
    <w:rsid w:val="00400F7F"/>
    <w:rsid w:val="00401108"/>
    <w:rsid w:val="004026B8"/>
    <w:rsid w:val="00402C55"/>
    <w:rsid w:val="00404940"/>
    <w:rsid w:val="00404E15"/>
    <w:rsid w:val="00405323"/>
    <w:rsid w:val="00406623"/>
    <w:rsid w:val="00406DF4"/>
    <w:rsid w:val="00407620"/>
    <w:rsid w:val="00410F61"/>
    <w:rsid w:val="00412C14"/>
    <w:rsid w:val="00414C0C"/>
    <w:rsid w:val="00414FA3"/>
    <w:rsid w:val="004158E7"/>
    <w:rsid w:val="0041710E"/>
    <w:rsid w:val="00417CA6"/>
    <w:rsid w:val="004213EA"/>
    <w:rsid w:val="00421A66"/>
    <w:rsid w:val="004221C9"/>
    <w:rsid w:val="00425416"/>
    <w:rsid w:val="00426A16"/>
    <w:rsid w:val="00426B85"/>
    <w:rsid w:val="00430DAA"/>
    <w:rsid w:val="00431526"/>
    <w:rsid w:val="0043397F"/>
    <w:rsid w:val="004339B9"/>
    <w:rsid w:val="00434161"/>
    <w:rsid w:val="00440681"/>
    <w:rsid w:val="00441387"/>
    <w:rsid w:val="00441A89"/>
    <w:rsid w:val="0044640E"/>
    <w:rsid w:val="004476AF"/>
    <w:rsid w:val="00450E1A"/>
    <w:rsid w:val="00451202"/>
    <w:rsid w:val="00451896"/>
    <w:rsid w:val="0045318F"/>
    <w:rsid w:val="004538A2"/>
    <w:rsid w:val="00453F33"/>
    <w:rsid w:val="00455F12"/>
    <w:rsid w:val="00457B08"/>
    <w:rsid w:val="00460C7A"/>
    <w:rsid w:val="0046124A"/>
    <w:rsid w:val="00461BA1"/>
    <w:rsid w:val="00462580"/>
    <w:rsid w:val="00462C1B"/>
    <w:rsid w:val="00463353"/>
    <w:rsid w:val="00464032"/>
    <w:rsid w:val="00464408"/>
    <w:rsid w:val="00464878"/>
    <w:rsid w:val="00465834"/>
    <w:rsid w:val="00466D69"/>
    <w:rsid w:val="00466D72"/>
    <w:rsid w:val="00467B03"/>
    <w:rsid w:val="00470B7A"/>
    <w:rsid w:val="004714D6"/>
    <w:rsid w:val="0047234E"/>
    <w:rsid w:val="00473149"/>
    <w:rsid w:val="00473BEF"/>
    <w:rsid w:val="00474236"/>
    <w:rsid w:val="00474253"/>
    <w:rsid w:val="00476093"/>
    <w:rsid w:val="00476A70"/>
    <w:rsid w:val="004779B5"/>
    <w:rsid w:val="004800E3"/>
    <w:rsid w:val="0048121B"/>
    <w:rsid w:val="00483C03"/>
    <w:rsid w:val="00483C7D"/>
    <w:rsid w:val="004845FB"/>
    <w:rsid w:val="0048518A"/>
    <w:rsid w:val="0048644A"/>
    <w:rsid w:val="00486A2F"/>
    <w:rsid w:val="004871A5"/>
    <w:rsid w:val="0049101E"/>
    <w:rsid w:val="00492601"/>
    <w:rsid w:val="004929BD"/>
    <w:rsid w:val="00494580"/>
    <w:rsid w:val="004958FE"/>
    <w:rsid w:val="00496349"/>
    <w:rsid w:val="00496579"/>
    <w:rsid w:val="00496EF8"/>
    <w:rsid w:val="004A2DF0"/>
    <w:rsid w:val="004A2FFA"/>
    <w:rsid w:val="004A367B"/>
    <w:rsid w:val="004A41D1"/>
    <w:rsid w:val="004A453E"/>
    <w:rsid w:val="004A5015"/>
    <w:rsid w:val="004A7193"/>
    <w:rsid w:val="004B14D8"/>
    <w:rsid w:val="004B1E64"/>
    <w:rsid w:val="004B2B34"/>
    <w:rsid w:val="004B5DB8"/>
    <w:rsid w:val="004B628F"/>
    <w:rsid w:val="004C15A3"/>
    <w:rsid w:val="004C1AC4"/>
    <w:rsid w:val="004C3601"/>
    <w:rsid w:val="004C4ED3"/>
    <w:rsid w:val="004C5D5F"/>
    <w:rsid w:val="004C741F"/>
    <w:rsid w:val="004D07CA"/>
    <w:rsid w:val="004D0A54"/>
    <w:rsid w:val="004D5407"/>
    <w:rsid w:val="004D5CA2"/>
    <w:rsid w:val="004D7529"/>
    <w:rsid w:val="004D7B75"/>
    <w:rsid w:val="004E0985"/>
    <w:rsid w:val="004E38FF"/>
    <w:rsid w:val="004E3EAD"/>
    <w:rsid w:val="004E49AE"/>
    <w:rsid w:val="004E521F"/>
    <w:rsid w:val="004E77F3"/>
    <w:rsid w:val="004F1053"/>
    <w:rsid w:val="004F1797"/>
    <w:rsid w:val="004F51FB"/>
    <w:rsid w:val="004F6CFA"/>
    <w:rsid w:val="004F6E77"/>
    <w:rsid w:val="004F6FA3"/>
    <w:rsid w:val="004F7399"/>
    <w:rsid w:val="00500286"/>
    <w:rsid w:val="005006C8"/>
    <w:rsid w:val="00500EDC"/>
    <w:rsid w:val="005021BD"/>
    <w:rsid w:val="005054F3"/>
    <w:rsid w:val="00506BC8"/>
    <w:rsid w:val="00510713"/>
    <w:rsid w:val="005120B9"/>
    <w:rsid w:val="00512D77"/>
    <w:rsid w:val="00515657"/>
    <w:rsid w:val="00516038"/>
    <w:rsid w:val="00516401"/>
    <w:rsid w:val="005212C5"/>
    <w:rsid w:val="00521A21"/>
    <w:rsid w:val="00522F1B"/>
    <w:rsid w:val="00525485"/>
    <w:rsid w:val="00527365"/>
    <w:rsid w:val="005300FF"/>
    <w:rsid w:val="00531174"/>
    <w:rsid w:val="005316D0"/>
    <w:rsid w:val="0053228B"/>
    <w:rsid w:val="00535C0C"/>
    <w:rsid w:val="00536208"/>
    <w:rsid w:val="00536875"/>
    <w:rsid w:val="00541168"/>
    <w:rsid w:val="00544628"/>
    <w:rsid w:val="0054465E"/>
    <w:rsid w:val="00545696"/>
    <w:rsid w:val="005459EE"/>
    <w:rsid w:val="00550756"/>
    <w:rsid w:val="0055092F"/>
    <w:rsid w:val="00556FAB"/>
    <w:rsid w:val="005570C7"/>
    <w:rsid w:val="00557477"/>
    <w:rsid w:val="00557F0C"/>
    <w:rsid w:val="005619C7"/>
    <w:rsid w:val="005651CB"/>
    <w:rsid w:val="00567A90"/>
    <w:rsid w:val="005722BE"/>
    <w:rsid w:val="005724D4"/>
    <w:rsid w:val="005739D5"/>
    <w:rsid w:val="00573B98"/>
    <w:rsid w:val="00576157"/>
    <w:rsid w:val="005800D1"/>
    <w:rsid w:val="00586904"/>
    <w:rsid w:val="00587852"/>
    <w:rsid w:val="00592914"/>
    <w:rsid w:val="005953E0"/>
    <w:rsid w:val="00596A70"/>
    <w:rsid w:val="00597942"/>
    <w:rsid w:val="005A3BC4"/>
    <w:rsid w:val="005A65ED"/>
    <w:rsid w:val="005A6F0E"/>
    <w:rsid w:val="005A74D0"/>
    <w:rsid w:val="005B1A7A"/>
    <w:rsid w:val="005B1E21"/>
    <w:rsid w:val="005B2383"/>
    <w:rsid w:val="005B4C47"/>
    <w:rsid w:val="005B5E58"/>
    <w:rsid w:val="005B6760"/>
    <w:rsid w:val="005B6D0E"/>
    <w:rsid w:val="005B753E"/>
    <w:rsid w:val="005B7639"/>
    <w:rsid w:val="005C03A0"/>
    <w:rsid w:val="005C0F5D"/>
    <w:rsid w:val="005C107F"/>
    <w:rsid w:val="005C4D06"/>
    <w:rsid w:val="005C5289"/>
    <w:rsid w:val="005D061E"/>
    <w:rsid w:val="005D0AA9"/>
    <w:rsid w:val="005D5820"/>
    <w:rsid w:val="005E198C"/>
    <w:rsid w:val="005E3B91"/>
    <w:rsid w:val="005E4653"/>
    <w:rsid w:val="005F006F"/>
    <w:rsid w:val="005F246B"/>
    <w:rsid w:val="005F28D7"/>
    <w:rsid w:val="005F2B1A"/>
    <w:rsid w:val="005F2CA0"/>
    <w:rsid w:val="005F3FE7"/>
    <w:rsid w:val="005F5AFC"/>
    <w:rsid w:val="00601591"/>
    <w:rsid w:val="0060373E"/>
    <w:rsid w:val="00603A31"/>
    <w:rsid w:val="0060464C"/>
    <w:rsid w:val="006054E0"/>
    <w:rsid w:val="00606117"/>
    <w:rsid w:val="00611DFC"/>
    <w:rsid w:val="00611F2B"/>
    <w:rsid w:val="00612BA0"/>
    <w:rsid w:val="00617CBD"/>
    <w:rsid w:val="00621C9F"/>
    <w:rsid w:val="00622A68"/>
    <w:rsid w:val="00623471"/>
    <w:rsid w:val="00625165"/>
    <w:rsid w:val="00625926"/>
    <w:rsid w:val="00626789"/>
    <w:rsid w:val="0062724F"/>
    <w:rsid w:val="00631CF1"/>
    <w:rsid w:val="00633BD4"/>
    <w:rsid w:val="00633CDA"/>
    <w:rsid w:val="00633D77"/>
    <w:rsid w:val="006354B8"/>
    <w:rsid w:val="00637320"/>
    <w:rsid w:val="00641FE2"/>
    <w:rsid w:val="00643248"/>
    <w:rsid w:val="00643DEC"/>
    <w:rsid w:val="0064602A"/>
    <w:rsid w:val="00646DC7"/>
    <w:rsid w:val="006528B3"/>
    <w:rsid w:val="0065324F"/>
    <w:rsid w:val="00654921"/>
    <w:rsid w:val="006556CA"/>
    <w:rsid w:val="00656964"/>
    <w:rsid w:val="00660025"/>
    <w:rsid w:val="006619AB"/>
    <w:rsid w:val="00662832"/>
    <w:rsid w:val="00667611"/>
    <w:rsid w:val="0067073E"/>
    <w:rsid w:val="00672B2C"/>
    <w:rsid w:val="00672BE4"/>
    <w:rsid w:val="00672C0A"/>
    <w:rsid w:val="00673088"/>
    <w:rsid w:val="00673637"/>
    <w:rsid w:val="00674561"/>
    <w:rsid w:val="00675F25"/>
    <w:rsid w:val="00676F23"/>
    <w:rsid w:val="00680C9F"/>
    <w:rsid w:val="006812BB"/>
    <w:rsid w:val="00681883"/>
    <w:rsid w:val="0068277F"/>
    <w:rsid w:val="00682FCA"/>
    <w:rsid w:val="00684D58"/>
    <w:rsid w:val="00684F28"/>
    <w:rsid w:val="00690CCE"/>
    <w:rsid w:val="00690F32"/>
    <w:rsid w:val="0069165A"/>
    <w:rsid w:val="00694377"/>
    <w:rsid w:val="00694CD3"/>
    <w:rsid w:val="00695D88"/>
    <w:rsid w:val="00697E39"/>
    <w:rsid w:val="006A0044"/>
    <w:rsid w:val="006A21E7"/>
    <w:rsid w:val="006A2364"/>
    <w:rsid w:val="006A3347"/>
    <w:rsid w:val="006A4EC4"/>
    <w:rsid w:val="006A523C"/>
    <w:rsid w:val="006A74FE"/>
    <w:rsid w:val="006B0C57"/>
    <w:rsid w:val="006B3E76"/>
    <w:rsid w:val="006B5F1C"/>
    <w:rsid w:val="006C0C6C"/>
    <w:rsid w:val="006C3622"/>
    <w:rsid w:val="006C3C1E"/>
    <w:rsid w:val="006C4B03"/>
    <w:rsid w:val="006C5806"/>
    <w:rsid w:val="006C6119"/>
    <w:rsid w:val="006C66E1"/>
    <w:rsid w:val="006C77E5"/>
    <w:rsid w:val="006D187B"/>
    <w:rsid w:val="006D1ACB"/>
    <w:rsid w:val="006D3C06"/>
    <w:rsid w:val="006D3FF5"/>
    <w:rsid w:val="006D478C"/>
    <w:rsid w:val="006D6249"/>
    <w:rsid w:val="006D6DBD"/>
    <w:rsid w:val="006D70BB"/>
    <w:rsid w:val="006D7E86"/>
    <w:rsid w:val="006E1E3A"/>
    <w:rsid w:val="006E2DE3"/>
    <w:rsid w:val="006E368C"/>
    <w:rsid w:val="006E37EC"/>
    <w:rsid w:val="006E3A77"/>
    <w:rsid w:val="006E7401"/>
    <w:rsid w:val="006E7416"/>
    <w:rsid w:val="006E75C7"/>
    <w:rsid w:val="006E7DF2"/>
    <w:rsid w:val="006F3268"/>
    <w:rsid w:val="006F32CB"/>
    <w:rsid w:val="006F4877"/>
    <w:rsid w:val="006F5971"/>
    <w:rsid w:val="00704E8F"/>
    <w:rsid w:val="0070670A"/>
    <w:rsid w:val="00706AC8"/>
    <w:rsid w:val="0070760D"/>
    <w:rsid w:val="00710557"/>
    <w:rsid w:val="00711799"/>
    <w:rsid w:val="00711E62"/>
    <w:rsid w:val="00712A1D"/>
    <w:rsid w:val="00714392"/>
    <w:rsid w:val="00714F9C"/>
    <w:rsid w:val="00715216"/>
    <w:rsid w:val="007166AE"/>
    <w:rsid w:val="00721060"/>
    <w:rsid w:val="00721103"/>
    <w:rsid w:val="007242A4"/>
    <w:rsid w:val="0072458A"/>
    <w:rsid w:val="00725270"/>
    <w:rsid w:val="0072606E"/>
    <w:rsid w:val="00732CD3"/>
    <w:rsid w:val="0073339F"/>
    <w:rsid w:val="00733F6B"/>
    <w:rsid w:val="0073461E"/>
    <w:rsid w:val="00740229"/>
    <w:rsid w:val="00742691"/>
    <w:rsid w:val="007456BA"/>
    <w:rsid w:val="007465F4"/>
    <w:rsid w:val="00747DC5"/>
    <w:rsid w:val="007536F9"/>
    <w:rsid w:val="007538B4"/>
    <w:rsid w:val="00753C99"/>
    <w:rsid w:val="007562DC"/>
    <w:rsid w:val="0075694B"/>
    <w:rsid w:val="007570C9"/>
    <w:rsid w:val="0075793D"/>
    <w:rsid w:val="007600EE"/>
    <w:rsid w:val="00761E5E"/>
    <w:rsid w:val="00766021"/>
    <w:rsid w:val="00767178"/>
    <w:rsid w:val="00767837"/>
    <w:rsid w:val="00771840"/>
    <w:rsid w:val="007743A4"/>
    <w:rsid w:val="00775CEC"/>
    <w:rsid w:val="00781AF7"/>
    <w:rsid w:val="00781DC6"/>
    <w:rsid w:val="00782400"/>
    <w:rsid w:val="0078425A"/>
    <w:rsid w:val="007848CC"/>
    <w:rsid w:val="00784A75"/>
    <w:rsid w:val="00784B2B"/>
    <w:rsid w:val="00785E1C"/>
    <w:rsid w:val="00786914"/>
    <w:rsid w:val="0078767D"/>
    <w:rsid w:val="0079027C"/>
    <w:rsid w:val="007906AC"/>
    <w:rsid w:val="00790925"/>
    <w:rsid w:val="00791B03"/>
    <w:rsid w:val="00791CA3"/>
    <w:rsid w:val="0079319E"/>
    <w:rsid w:val="00793A99"/>
    <w:rsid w:val="00794ADA"/>
    <w:rsid w:val="00795BD6"/>
    <w:rsid w:val="0079638E"/>
    <w:rsid w:val="007968B0"/>
    <w:rsid w:val="007A22D2"/>
    <w:rsid w:val="007A2EF7"/>
    <w:rsid w:val="007A3E1B"/>
    <w:rsid w:val="007A517A"/>
    <w:rsid w:val="007B000D"/>
    <w:rsid w:val="007B0777"/>
    <w:rsid w:val="007B26F1"/>
    <w:rsid w:val="007B3302"/>
    <w:rsid w:val="007C0249"/>
    <w:rsid w:val="007C08FA"/>
    <w:rsid w:val="007C69B2"/>
    <w:rsid w:val="007C7996"/>
    <w:rsid w:val="007D0E5F"/>
    <w:rsid w:val="007D3314"/>
    <w:rsid w:val="007D3F61"/>
    <w:rsid w:val="007D40AD"/>
    <w:rsid w:val="007D5150"/>
    <w:rsid w:val="007D5192"/>
    <w:rsid w:val="007D5ED3"/>
    <w:rsid w:val="007D790A"/>
    <w:rsid w:val="007E05B2"/>
    <w:rsid w:val="007E1167"/>
    <w:rsid w:val="007E1876"/>
    <w:rsid w:val="007E286A"/>
    <w:rsid w:val="007E476A"/>
    <w:rsid w:val="007E63C5"/>
    <w:rsid w:val="007E7D06"/>
    <w:rsid w:val="007E7F1D"/>
    <w:rsid w:val="007F239D"/>
    <w:rsid w:val="007F386A"/>
    <w:rsid w:val="007F40CC"/>
    <w:rsid w:val="007F7B7D"/>
    <w:rsid w:val="007F7B89"/>
    <w:rsid w:val="008013D0"/>
    <w:rsid w:val="0080193F"/>
    <w:rsid w:val="00801A3A"/>
    <w:rsid w:val="00802CBC"/>
    <w:rsid w:val="008045BF"/>
    <w:rsid w:val="00804B12"/>
    <w:rsid w:val="00805524"/>
    <w:rsid w:val="00806919"/>
    <w:rsid w:val="00806D2D"/>
    <w:rsid w:val="00812891"/>
    <w:rsid w:val="00812B97"/>
    <w:rsid w:val="00812DDB"/>
    <w:rsid w:val="00813879"/>
    <w:rsid w:val="008144A2"/>
    <w:rsid w:val="00817626"/>
    <w:rsid w:val="00817B70"/>
    <w:rsid w:val="00820186"/>
    <w:rsid w:val="008231CA"/>
    <w:rsid w:val="00823DCE"/>
    <w:rsid w:val="00824031"/>
    <w:rsid w:val="008268CA"/>
    <w:rsid w:val="00830A71"/>
    <w:rsid w:val="00831FC8"/>
    <w:rsid w:val="00833847"/>
    <w:rsid w:val="00834317"/>
    <w:rsid w:val="008360C6"/>
    <w:rsid w:val="0083681F"/>
    <w:rsid w:val="00836CDF"/>
    <w:rsid w:val="00841224"/>
    <w:rsid w:val="0084132F"/>
    <w:rsid w:val="00841F0A"/>
    <w:rsid w:val="0084686C"/>
    <w:rsid w:val="00847475"/>
    <w:rsid w:val="00853D2D"/>
    <w:rsid w:val="00854FEE"/>
    <w:rsid w:val="008557CC"/>
    <w:rsid w:val="00855B38"/>
    <w:rsid w:val="00856200"/>
    <w:rsid w:val="0085764B"/>
    <w:rsid w:val="00861015"/>
    <w:rsid w:val="00863A0C"/>
    <w:rsid w:val="008643D1"/>
    <w:rsid w:val="008646F5"/>
    <w:rsid w:val="0086593D"/>
    <w:rsid w:val="00865D76"/>
    <w:rsid w:val="00866C09"/>
    <w:rsid w:val="00866F62"/>
    <w:rsid w:val="0087274A"/>
    <w:rsid w:val="0087295F"/>
    <w:rsid w:val="0087499A"/>
    <w:rsid w:val="00875387"/>
    <w:rsid w:val="00876283"/>
    <w:rsid w:val="00877419"/>
    <w:rsid w:val="008833AF"/>
    <w:rsid w:val="008852A8"/>
    <w:rsid w:val="00885E99"/>
    <w:rsid w:val="00887A29"/>
    <w:rsid w:val="0089277C"/>
    <w:rsid w:val="00893D8E"/>
    <w:rsid w:val="00894583"/>
    <w:rsid w:val="00897BF2"/>
    <w:rsid w:val="008A3D44"/>
    <w:rsid w:val="008A470F"/>
    <w:rsid w:val="008A5F34"/>
    <w:rsid w:val="008B0D74"/>
    <w:rsid w:val="008B15E6"/>
    <w:rsid w:val="008B466F"/>
    <w:rsid w:val="008B4AD1"/>
    <w:rsid w:val="008B4CF9"/>
    <w:rsid w:val="008C064B"/>
    <w:rsid w:val="008C12E5"/>
    <w:rsid w:val="008C41DF"/>
    <w:rsid w:val="008C5278"/>
    <w:rsid w:val="008C56FF"/>
    <w:rsid w:val="008C5AFF"/>
    <w:rsid w:val="008C5DCF"/>
    <w:rsid w:val="008C73CB"/>
    <w:rsid w:val="008D029A"/>
    <w:rsid w:val="008D1657"/>
    <w:rsid w:val="008D2049"/>
    <w:rsid w:val="008D35C7"/>
    <w:rsid w:val="008D3E58"/>
    <w:rsid w:val="008D4C41"/>
    <w:rsid w:val="008E070E"/>
    <w:rsid w:val="008E11AD"/>
    <w:rsid w:val="008E155C"/>
    <w:rsid w:val="008E3BE3"/>
    <w:rsid w:val="008E4A71"/>
    <w:rsid w:val="008E513C"/>
    <w:rsid w:val="008E6317"/>
    <w:rsid w:val="008F2EBC"/>
    <w:rsid w:val="008F3C05"/>
    <w:rsid w:val="008F3D36"/>
    <w:rsid w:val="008F4451"/>
    <w:rsid w:val="008F5035"/>
    <w:rsid w:val="008F5C10"/>
    <w:rsid w:val="008F6F49"/>
    <w:rsid w:val="008F74AA"/>
    <w:rsid w:val="009007D1"/>
    <w:rsid w:val="00901FB6"/>
    <w:rsid w:val="00902A1E"/>
    <w:rsid w:val="009048BB"/>
    <w:rsid w:val="00906A70"/>
    <w:rsid w:val="00910003"/>
    <w:rsid w:val="00910A44"/>
    <w:rsid w:val="00914435"/>
    <w:rsid w:val="009222EB"/>
    <w:rsid w:val="00924461"/>
    <w:rsid w:val="00924AD8"/>
    <w:rsid w:val="00925C7F"/>
    <w:rsid w:val="009323AF"/>
    <w:rsid w:val="00933F4D"/>
    <w:rsid w:val="00936411"/>
    <w:rsid w:val="0094013E"/>
    <w:rsid w:val="00940F80"/>
    <w:rsid w:val="00941659"/>
    <w:rsid w:val="0094563A"/>
    <w:rsid w:val="009457B4"/>
    <w:rsid w:val="0094650E"/>
    <w:rsid w:val="00946FAD"/>
    <w:rsid w:val="00950986"/>
    <w:rsid w:val="009528AA"/>
    <w:rsid w:val="00952CA5"/>
    <w:rsid w:val="00953321"/>
    <w:rsid w:val="0095342D"/>
    <w:rsid w:val="00953473"/>
    <w:rsid w:val="009541DD"/>
    <w:rsid w:val="009559A4"/>
    <w:rsid w:val="00956670"/>
    <w:rsid w:val="00957337"/>
    <w:rsid w:val="00957BD0"/>
    <w:rsid w:val="00961ABD"/>
    <w:rsid w:val="0096306E"/>
    <w:rsid w:val="00963E4A"/>
    <w:rsid w:val="00963E79"/>
    <w:rsid w:val="00964754"/>
    <w:rsid w:val="00966373"/>
    <w:rsid w:val="00966949"/>
    <w:rsid w:val="00966A70"/>
    <w:rsid w:val="00966A94"/>
    <w:rsid w:val="00970583"/>
    <w:rsid w:val="00970F9F"/>
    <w:rsid w:val="009710B2"/>
    <w:rsid w:val="009727BB"/>
    <w:rsid w:val="009740AD"/>
    <w:rsid w:val="009755BA"/>
    <w:rsid w:val="00976D43"/>
    <w:rsid w:val="00981150"/>
    <w:rsid w:val="00981D30"/>
    <w:rsid w:val="00982813"/>
    <w:rsid w:val="0098457E"/>
    <w:rsid w:val="009851AD"/>
    <w:rsid w:val="00985877"/>
    <w:rsid w:val="00985A20"/>
    <w:rsid w:val="00986D8F"/>
    <w:rsid w:val="009900CE"/>
    <w:rsid w:val="00991C01"/>
    <w:rsid w:val="00991CBC"/>
    <w:rsid w:val="009931DA"/>
    <w:rsid w:val="00995FAA"/>
    <w:rsid w:val="00997F19"/>
    <w:rsid w:val="009A1839"/>
    <w:rsid w:val="009A43E9"/>
    <w:rsid w:val="009A61F3"/>
    <w:rsid w:val="009A6606"/>
    <w:rsid w:val="009A67F3"/>
    <w:rsid w:val="009A6FC3"/>
    <w:rsid w:val="009A7826"/>
    <w:rsid w:val="009B3FD4"/>
    <w:rsid w:val="009C06F3"/>
    <w:rsid w:val="009C23C7"/>
    <w:rsid w:val="009C7261"/>
    <w:rsid w:val="009D3004"/>
    <w:rsid w:val="009D3E22"/>
    <w:rsid w:val="009E16B3"/>
    <w:rsid w:val="009E17BA"/>
    <w:rsid w:val="009E1C3E"/>
    <w:rsid w:val="009E27F0"/>
    <w:rsid w:val="009E3F93"/>
    <w:rsid w:val="009E5A0F"/>
    <w:rsid w:val="009E5D0B"/>
    <w:rsid w:val="009E6A6C"/>
    <w:rsid w:val="009E7D57"/>
    <w:rsid w:val="009F4AC3"/>
    <w:rsid w:val="009F4C9A"/>
    <w:rsid w:val="009F6F66"/>
    <w:rsid w:val="009F7639"/>
    <w:rsid w:val="009F7ADB"/>
    <w:rsid w:val="00A0209E"/>
    <w:rsid w:val="00A0252D"/>
    <w:rsid w:val="00A0370C"/>
    <w:rsid w:val="00A043F6"/>
    <w:rsid w:val="00A04C34"/>
    <w:rsid w:val="00A04DDD"/>
    <w:rsid w:val="00A05785"/>
    <w:rsid w:val="00A057B7"/>
    <w:rsid w:val="00A05E13"/>
    <w:rsid w:val="00A062C8"/>
    <w:rsid w:val="00A06307"/>
    <w:rsid w:val="00A06E5C"/>
    <w:rsid w:val="00A12A79"/>
    <w:rsid w:val="00A1515A"/>
    <w:rsid w:val="00A16DE6"/>
    <w:rsid w:val="00A208AA"/>
    <w:rsid w:val="00A22C30"/>
    <w:rsid w:val="00A2320A"/>
    <w:rsid w:val="00A23E48"/>
    <w:rsid w:val="00A25B60"/>
    <w:rsid w:val="00A25FE7"/>
    <w:rsid w:val="00A2711D"/>
    <w:rsid w:val="00A27C49"/>
    <w:rsid w:val="00A325CE"/>
    <w:rsid w:val="00A3374E"/>
    <w:rsid w:val="00A34FB1"/>
    <w:rsid w:val="00A35869"/>
    <w:rsid w:val="00A37D9B"/>
    <w:rsid w:val="00A4291D"/>
    <w:rsid w:val="00A43110"/>
    <w:rsid w:val="00A46809"/>
    <w:rsid w:val="00A4722E"/>
    <w:rsid w:val="00A53828"/>
    <w:rsid w:val="00A54E38"/>
    <w:rsid w:val="00A56441"/>
    <w:rsid w:val="00A56F49"/>
    <w:rsid w:val="00A57AA4"/>
    <w:rsid w:val="00A607C1"/>
    <w:rsid w:val="00A63975"/>
    <w:rsid w:val="00A63979"/>
    <w:rsid w:val="00A67E3E"/>
    <w:rsid w:val="00A701A7"/>
    <w:rsid w:val="00A709A1"/>
    <w:rsid w:val="00A70C30"/>
    <w:rsid w:val="00A76B3C"/>
    <w:rsid w:val="00A77386"/>
    <w:rsid w:val="00A8254A"/>
    <w:rsid w:val="00A83408"/>
    <w:rsid w:val="00A871AC"/>
    <w:rsid w:val="00A87936"/>
    <w:rsid w:val="00A90DA5"/>
    <w:rsid w:val="00A91F68"/>
    <w:rsid w:val="00A92B7B"/>
    <w:rsid w:val="00A930A0"/>
    <w:rsid w:val="00A931D1"/>
    <w:rsid w:val="00A95535"/>
    <w:rsid w:val="00AA08C5"/>
    <w:rsid w:val="00AA2683"/>
    <w:rsid w:val="00AA2CF8"/>
    <w:rsid w:val="00AA55A1"/>
    <w:rsid w:val="00AA56EC"/>
    <w:rsid w:val="00AA6630"/>
    <w:rsid w:val="00AB1507"/>
    <w:rsid w:val="00AB37F0"/>
    <w:rsid w:val="00AB3D6B"/>
    <w:rsid w:val="00AB461E"/>
    <w:rsid w:val="00AB6883"/>
    <w:rsid w:val="00AB779D"/>
    <w:rsid w:val="00AB7864"/>
    <w:rsid w:val="00AC1AFE"/>
    <w:rsid w:val="00AC2C3C"/>
    <w:rsid w:val="00AC5938"/>
    <w:rsid w:val="00AC6C75"/>
    <w:rsid w:val="00AD05AA"/>
    <w:rsid w:val="00AD06C0"/>
    <w:rsid w:val="00AD16A5"/>
    <w:rsid w:val="00AD201A"/>
    <w:rsid w:val="00AD3023"/>
    <w:rsid w:val="00AD4DD9"/>
    <w:rsid w:val="00AD539F"/>
    <w:rsid w:val="00AD720F"/>
    <w:rsid w:val="00AD7A4F"/>
    <w:rsid w:val="00AE02BD"/>
    <w:rsid w:val="00AE0A74"/>
    <w:rsid w:val="00AE0E7F"/>
    <w:rsid w:val="00AE22DC"/>
    <w:rsid w:val="00AE39A3"/>
    <w:rsid w:val="00AE469E"/>
    <w:rsid w:val="00AE50D5"/>
    <w:rsid w:val="00AF0CB7"/>
    <w:rsid w:val="00AF1041"/>
    <w:rsid w:val="00AF319D"/>
    <w:rsid w:val="00AF3C14"/>
    <w:rsid w:val="00AF5334"/>
    <w:rsid w:val="00AF589A"/>
    <w:rsid w:val="00AF6589"/>
    <w:rsid w:val="00B02BE9"/>
    <w:rsid w:val="00B030FC"/>
    <w:rsid w:val="00B03315"/>
    <w:rsid w:val="00B04505"/>
    <w:rsid w:val="00B045A1"/>
    <w:rsid w:val="00B05D61"/>
    <w:rsid w:val="00B13CFB"/>
    <w:rsid w:val="00B14BDB"/>
    <w:rsid w:val="00B176FA"/>
    <w:rsid w:val="00B17A13"/>
    <w:rsid w:val="00B20BF6"/>
    <w:rsid w:val="00B20E5C"/>
    <w:rsid w:val="00B22776"/>
    <w:rsid w:val="00B23218"/>
    <w:rsid w:val="00B239FC"/>
    <w:rsid w:val="00B3173C"/>
    <w:rsid w:val="00B3674C"/>
    <w:rsid w:val="00B40FAB"/>
    <w:rsid w:val="00B41ABD"/>
    <w:rsid w:val="00B42A15"/>
    <w:rsid w:val="00B46B8F"/>
    <w:rsid w:val="00B512D3"/>
    <w:rsid w:val="00B52571"/>
    <w:rsid w:val="00B5269F"/>
    <w:rsid w:val="00B53E4E"/>
    <w:rsid w:val="00B541A4"/>
    <w:rsid w:val="00B547CD"/>
    <w:rsid w:val="00B60846"/>
    <w:rsid w:val="00B60A90"/>
    <w:rsid w:val="00B60D20"/>
    <w:rsid w:val="00B61340"/>
    <w:rsid w:val="00B6160D"/>
    <w:rsid w:val="00B61F60"/>
    <w:rsid w:val="00B63324"/>
    <w:rsid w:val="00B646B2"/>
    <w:rsid w:val="00B67AF0"/>
    <w:rsid w:val="00B70CE3"/>
    <w:rsid w:val="00B71575"/>
    <w:rsid w:val="00B71861"/>
    <w:rsid w:val="00B718EC"/>
    <w:rsid w:val="00B72A4E"/>
    <w:rsid w:val="00B72C48"/>
    <w:rsid w:val="00B74F02"/>
    <w:rsid w:val="00B754AC"/>
    <w:rsid w:val="00B75AF2"/>
    <w:rsid w:val="00B76F2C"/>
    <w:rsid w:val="00B83137"/>
    <w:rsid w:val="00B8431E"/>
    <w:rsid w:val="00B8633F"/>
    <w:rsid w:val="00B86AA5"/>
    <w:rsid w:val="00B922BF"/>
    <w:rsid w:val="00B94ED8"/>
    <w:rsid w:val="00B94F64"/>
    <w:rsid w:val="00BA0A18"/>
    <w:rsid w:val="00BA0BB8"/>
    <w:rsid w:val="00BA2595"/>
    <w:rsid w:val="00BA3B69"/>
    <w:rsid w:val="00BA4A24"/>
    <w:rsid w:val="00BA54DC"/>
    <w:rsid w:val="00BA5B99"/>
    <w:rsid w:val="00BA63B5"/>
    <w:rsid w:val="00BA6D9B"/>
    <w:rsid w:val="00BA751E"/>
    <w:rsid w:val="00BB0BE9"/>
    <w:rsid w:val="00BB15F5"/>
    <w:rsid w:val="00BB2B22"/>
    <w:rsid w:val="00BB302D"/>
    <w:rsid w:val="00BB31EF"/>
    <w:rsid w:val="00BB3D70"/>
    <w:rsid w:val="00BB3E7E"/>
    <w:rsid w:val="00BB59C6"/>
    <w:rsid w:val="00BB64CD"/>
    <w:rsid w:val="00BB784C"/>
    <w:rsid w:val="00BC33F4"/>
    <w:rsid w:val="00BC3FAF"/>
    <w:rsid w:val="00BC59F1"/>
    <w:rsid w:val="00BD17FB"/>
    <w:rsid w:val="00BD21D0"/>
    <w:rsid w:val="00BD274F"/>
    <w:rsid w:val="00BD3EF3"/>
    <w:rsid w:val="00BD471F"/>
    <w:rsid w:val="00BD4BB3"/>
    <w:rsid w:val="00BD53BE"/>
    <w:rsid w:val="00BD5C79"/>
    <w:rsid w:val="00BD5F38"/>
    <w:rsid w:val="00BD7107"/>
    <w:rsid w:val="00BE03F6"/>
    <w:rsid w:val="00BE076C"/>
    <w:rsid w:val="00BE085C"/>
    <w:rsid w:val="00BE38D5"/>
    <w:rsid w:val="00BE46FF"/>
    <w:rsid w:val="00BE4AD0"/>
    <w:rsid w:val="00BE4BB4"/>
    <w:rsid w:val="00BE4DE3"/>
    <w:rsid w:val="00BE6F9C"/>
    <w:rsid w:val="00BE7F23"/>
    <w:rsid w:val="00BF05E8"/>
    <w:rsid w:val="00BF3165"/>
    <w:rsid w:val="00BF6489"/>
    <w:rsid w:val="00BF6F55"/>
    <w:rsid w:val="00BF78DA"/>
    <w:rsid w:val="00C002DD"/>
    <w:rsid w:val="00C006E3"/>
    <w:rsid w:val="00C0236F"/>
    <w:rsid w:val="00C03F72"/>
    <w:rsid w:val="00C03F84"/>
    <w:rsid w:val="00C054B1"/>
    <w:rsid w:val="00C06BE4"/>
    <w:rsid w:val="00C06DEB"/>
    <w:rsid w:val="00C07285"/>
    <w:rsid w:val="00C07476"/>
    <w:rsid w:val="00C0767D"/>
    <w:rsid w:val="00C07C8C"/>
    <w:rsid w:val="00C10F0C"/>
    <w:rsid w:val="00C120FC"/>
    <w:rsid w:val="00C12E0A"/>
    <w:rsid w:val="00C13F3F"/>
    <w:rsid w:val="00C17EB3"/>
    <w:rsid w:val="00C20CB7"/>
    <w:rsid w:val="00C21163"/>
    <w:rsid w:val="00C216A7"/>
    <w:rsid w:val="00C2297E"/>
    <w:rsid w:val="00C260D8"/>
    <w:rsid w:val="00C270B9"/>
    <w:rsid w:val="00C31DE8"/>
    <w:rsid w:val="00C33C9E"/>
    <w:rsid w:val="00C35834"/>
    <w:rsid w:val="00C5033A"/>
    <w:rsid w:val="00C526C7"/>
    <w:rsid w:val="00C529B7"/>
    <w:rsid w:val="00C5436C"/>
    <w:rsid w:val="00C5441E"/>
    <w:rsid w:val="00C54A24"/>
    <w:rsid w:val="00C60688"/>
    <w:rsid w:val="00C60BA5"/>
    <w:rsid w:val="00C665A5"/>
    <w:rsid w:val="00C66D0F"/>
    <w:rsid w:val="00C70773"/>
    <w:rsid w:val="00C714AE"/>
    <w:rsid w:val="00C716F0"/>
    <w:rsid w:val="00C725F3"/>
    <w:rsid w:val="00C7411A"/>
    <w:rsid w:val="00C765B0"/>
    <w:rsid w:val="00C823CB"/>
    <w:rsid w:val="00C8485F"/>
    <w:rsid w:val="00C87AE0"/>
    <w:rsid w:val="00C90732"/>
    <w:rsid w:val="00C917CC"/>
    <w:rsid w:val="00C9219D"/>
    <w:rsid w:val="00C92A1C"/>
    <w:rsid w:val="00C93B85"/>
    <w:rsid w:val="00C969A7"/>
    <w:rsid w:val="00CA0E1B"/>
    <w:rsid w:val="00CA1B24"/>
    <w:rsid w:val="00CA2AFC"/>
    <w:rsid w:val="00CA31E7"/>
    <w:rsid w:val="00CA392F"/>
    <w:rsid w:val="00CA4CFB"/>
    <w:rsid w:val="00CA5764"/>
    <w:rsid w:val="00CA5E44"/>
    <w:rsid w:val="00CB2406"/>
    <w:rsid w:val="00CB25D8"/>
    <w:rsid w:val="00CB2900"/>
    <w:rsid w:val="00CB2A6F"/>
    <w:rsid w:val="00CB3602"/>
    <w:rsid w:val="00CB5F0E"/>
    <w:rsid w:val="00CB65D7"/>
    <w:rsid w:val="00CB713B"/>
    <w:rsid w:val="00CC08ED"/>
    <w:rsid w:val="00CC0C8C"/>
    <w:rsid w:val="00CC1E01"/>
    <w:rsid w:val="00CC3DC9"/>
    <w:rsid w:val="00CC63D3"/>
    <w:rsid w:val="00CC6F81"/>
    <w:rsid w:val="00CC76CB"/>
    <w:rsid w:val="00CD311F"/>
    <w:rsid w:val="00CD3BCF"/>
    <w:rsid w:val="00CD6A30"/>
    <w:rsid w:val="00CD770E"/>
    <w:rsid w:val="00CE2F82"/>
    <w:rsid w:val="00CE30CF"/>
    <w:rsid w:val="00CE4F12"/>
    <w:rsid w:val="00CE5A66"/>
    <w:rsid w:val="00CE5E19"/>
    <w:rsid w:val="00CE6057"/>
    <w:rsid w:val="00CF0060"/>
    <w:rsid w:val="00CF0296"/>
    <w:rsid w:val="00CF073C"/>
    <w:rsid w:val="00CF15BC"/>
    <w:rsid w:val="00CF6388"/>
    <w:rsid w:val="00D00914"/>
    <w:rsid w:val="00D0093F"/>
    <w:rsid w:val="00D01137"/>
    <w:rsid w:val="00D031A4"/>
    <w:rsid w:val="00D0419F"/>
    <w:rsid w:val="00D04FBF"/>
    <w:rsid w:val="00D0512F"/>
    <w:rsid w:val="00D06144"/>
    <w:rsid w:val="00D1095D"/>
    <w:rsid w:val="00D109DD"/>
    <w:rsid w:val="00D128DE"/>
    <w:rsid w:val="00D13BE0"/>
    <w:rsid w:val="00D14300"/>
    <w:rsid w:val="00D14A1B"/>
    <w:rsid w:val="00D15F49"/>
    <w:rsid w:val="00D16CB3"/>
    <w:rsid w:val="00D238F4"/>
    <w:rsid w:val="00D2440F"/>
    <w:rsid w:val="00D25126"/>
    <w:rsid w:val="00D30227"/>
    <w:rsid w:val="00D3171C"/>
    <w:rsid w:val="00D31C70"/>
    <w:rsid w:val="00D331B5"/>
    <w:rsid w:val="00D36339"/>
    <w:rsid w:val="00D4279E"/>
    <w:rsid w:val="00D429B6"/>
    <w:rsid w:val="00D43DF7"/>
    <w:rsid w:val="00D45F4A"/>
    <w:rsid w:val="00D464C2"/>
    <w:rsid w:val="00D466FB"/>
    <w:rsid w:val="00D501DC"/>
    <w:rsid w:val="00D51CF9"/>
    <w:rsid w:val="00D51EFE"/>
    <w:rsid w:val="00D566DE"/>
    <w:rsid w:val="00D573D1"/>
    <w:rsid w:val="00D60B59"/>
    <w:rsid w:val="00D627DF"/>
    <w:rsid w:val="00D6501F"/>
    <w:rsid w:val="00D66442"/>
    <w:rsid w:val="00D66955"/>
    <w:rsid w:val="00D6729D"/>
    <w:rsid w:val="00D672A1"/>
    <w:rsid w:val="00D71AFE"/>
    <w:rsid w:val="00D71CF0"/>
    <w:rsid w:val="00D72C77"/>
    <w:rsid w:val="00D760E1"/>
    <w:rsid w:val="00D76D61"/>
    <w:rsid w:val="00D804A2"/>
    <w:rsid w:val="00D81C0E"/>
    <w:rsid w:val="00D8280A"/>
    <w:rsid w:val="00D83405"/>
    <w:rsid w:val="00D856C4"/>
    <w:rsid w:val="00D85F10"/>
    <w:rsid w:val="00D902E4"/>
    <w:rsid w:val="00D91D06"/>
    <w:rsid w:val="00DA1697"/>
    <w:rsid w:val="00DA1EF9"/>
    <w:rsid w:val="00DA2A93"/>
    <w:rsid w:val="00DA3D5E"/>
    <w:rsid w:val="00DA4F27"/>
    <w:rsid w:val="00DA5E51"/>
    <w:rsid w:val="00DA6B7C"/>
    <w:rsid w:val="00DB0397"/>
    <w:rsid w:val="00DB1061"/>
    <w:rsid w:val="00DB1D81"/>
    <w:rsid w:val="00DB1E50"/>
    <w:rsid w:val="00DB20E7"/>
    <w:rsid w:val="00DB2147"/>
    <w:rsid w:val="00DB28C3"/>
    <w:rsid w:val="00DB4AFF"/>
    <w:rsid w:val="00DB51A2"/>
    <w:rsid w:val="00DB5534"/>
    <w:rsid w:val="00DB70BF"/>
    <w:rsid w:val="00DC17BA"/>
    <w:rsid w:val="00DC1ED1"/>
    <w:rsid w:val="00DC2855"/>
    <w:rsid w:val="00DC29EB"/>
    <w:rsid w:val="00DC2C8C"/>
    <w:rsid w:val="00DC2E24"/>
    <w:rsid w:val="00DC4E82"/>
    <w:rsid w:val="00DC5816"/>
    <w:rsid w:val="00DC5A16"/>
    <w:rsid w:val="00DC62BC"/>
    <w:rsid w:val="00DC6C1D"/>
    <w:rsid w:val="00DD2CA0"/>
    <w:rsid w:val="00DD37F6"/>
    <w:rsid w:val="00DD4F17"/>
    <w:rsid w:val="00DD50D1"/>
    <w:rsid w:val="00DD50EF"/>
    <w:rsid w:val="00DD5B66"/>
    <w:rsid w:val="00DD61EB"/>
    <w:rsid w:val="00DD6406"/>
    <w:rsid w:val="00DD7B6E"/>
    <w:rsid w:val="00DD7BB4"/>
    <w:rsid w:val="00DE3517"/>
    <w:rsid w:val="00DE6447"/>
    <w:rsid w:val="00DE6D32"/>
    <w:rsid w:val="00DE713A"/>
    <w:rsid w:val="00DE7CDA"/>
    <w:rsid w:val="00DF1002"/>
    <w:rsid w:val="00DF2407"/>
    <w:rsid w:val="00DF5D03"/>
    <w:rsid w:val="00DF62EA"/>
    <w:rsid w:val="00DF6F50"/>
    <w:rsid w:val="00DF7851"/>
    <w:rsid w:val="00E00A8D"/>
    <w:rsid w:val="00E00F66"/>
    <w:rsid w:val="00E01564"/>
    <w:rsid w:val="00E02569"/>
    <w:rsid w:val="00E043D6"/>
    <w:rsid w:val="00E050EF"/>
    <w:rsid w:val="00E11DBA"/>
    <w:rsid w:val="00E123E8"/>
    <w:rsid w:val="00E12895"/>
    <w:rsid w:val="00E12F39"/>
    <w:rsid w:val="00E166DF"/>
    <w:rsid w:val="00E212DC"/>
    <w:rsid w:val="00E2148E"/>
    <w:rsid w:val="00E2165F"/>
    <w:rsid w:val="00E21E63"/>
    <w:rsid w:val="00E21FDF"/>
    <w:rsid w:val="00E22BBA"/>
    <w:rsid w:val="00E23D0B"/>
    <w:rsid w:val="00E242A0"/>
    <w:rsid w:val="00E27360"/>
    <w:rsid w:val="00E27DC1"/>
    <w:rsid w:val="00E30C8F"/>
    <w:rsid w:val="00E31281"/>
    <w:rsid w:val="00E3289D"/>
    <w:rsid w:val="00E329FA"/>
    <w:rsid w:val="00E35181"/>
    <w:rsid w:val="00E3543C"/>
    <w:rsid w:val="00E354C6"/>
    <w:rsid w:val="00E414C9"/>
    <w:rsid w:val="00E431FF"/>
    <w:rsid w:val="00E4357F"/>
    <w:rsid w:val="00E43A82"/>
    <w:rsid w:val="00E44115"/>
    <w:rsid w:val="00E445C0"/>
    <w:rsid w:val="00E460F8"/>
    <w:rsid w:val="00E466AC"/>
    <w:rsid w:val="00E47500"/>
    <w:rsid w:val="00E47BDD"/>
    <w:rsid w:val="00E5098E"/>
    <w:rsid w:val="00E529F8"/>
    <w:rsid w:val="00E537A6"/>
    <w:rsid w:val="00E54A44"/>
    <w:rsid w:val="00E54F7A"/>
    <w:rsid w:val="00E5557F"/>
    <w:rsid w:val="00E57F44"/>
    <w:rsid w:val="00E60CF6"/>
    <w:rsid w:val="00E61729"/>
    <w:rsid w:val="00E62424"/>
    <w:rsid w:val="00E63ACE"/>
    <w:rsid w:val="00E65B9B"/>
    <w:rsid w:val="00E65D1A"/>
    <w:rsid w:val="00E66271"/>
    <w:rsid w:val="00E66AEA"/>
    <w:rsid w:val="00E672B2"/>
    <w:rsid w:val="00E67601"/>
    <w:rsid w:val="00E67B61"/>
    <w:rsid w:val="00E7147D"/>
    <w:rsid w:val="00E71C00"/>
    <w:rsid w:val="00E73C71"/>
    <w:rsid w:val="00E73F6A"/>
    <w:rsid w:val="00E74B2B"/>
    <w:rsid w:val="00E74D56"/>
    <w:rsid w:val="00E7707F"/>
    <w:rsid w:val="00E771EA"/>
    <w:rsid w:val="00E813A2"/>
    <w:rsid w:val="00E8344A"/>
    <w:rsid w:val="00E83ACF"/>
    <w:rsid w:val="00E85CA9"/>
    <w:rsid w:val="00E87FC5"/>
    <w:rsid w:val="00E9205B"/>
    <w:rsid w:val="00E9229C"/>
    <w:rsid w:val="00E9561A"/>
    <w:rsid w:val="00E95936"/>
    <w:rsid w:val="00E96219"/>
    <w:rsid w:val="00E966E3"/>
    <w:rsid w:val="00E9683C"/>
    <w:rsid w:val="00E97900"/>
    <w:rsid w:val="00EA0E96"/>
    <w:rsid w:val="00EA1B75"/>
    <w:rsid w:val="00EA2031"/>
    <w:rsid w:val="00EA58BF"/>
    <w:rsid w:val="00EA7475"/>
    <w:rsid w:val="00EB0570"/>
    <w:rsid w:val="00EB0B57"/>
    <w:rsid w:val="00EB1077"/>
    <w:rsid w:val="00EB22D1"/>
    <w:rsid w:val="00EB23DD"/>
    <w:rsid w:val="00EB2DDE"/>
    <w:rsid w:val="00EB51C2"/>
    <w:rsid w:val="00EB65DC"/>
    <w:rsid w:val="00EB7496"/>
    <w:rsid w:val="00EC07E6"/>
    <w:rsid w:val="00EC0BD4"/>
    <w:rsid w:val="00EC131E"/>
    <w:rsid w:val="00EC56F4"/>
    <w:rsid w:val="00EC788E"/>
    <w:rsid w:val="00ED30F0"/>
    <w:rsid w:val="00ED3E37"/>
    <w:rsid w:val="00ED4C8E"/>
    <w:rsid w:val="00ED50CB"/>
    <w:rsid w:val="00EE0B95"/>
    <w:rsid w:val="00EE207C"/>
    <w:rsid w:val="00EE3F4B"/>
    <w:rsid w:val="00EE58BD"/>
    <w:rsid w:val="00EE60D0"/>
    <w:rsid w:val="00EE6134"/>
    <w:rsid w:val="00EE6BF4"/>
    <w:rsid w:val="00EE72B5"/>
    <w:rsid w:val="00EF2142"/>
    <w:rsid w:val="00EF3CD5"/>
    <w:rsid w:val="00EF5847"/>
    <w:rsid w:val="00F034C5"/>
    <w:rsid w:val="00F0414F"/>
    <w:rsid w:val="00F05683"/>
    <w:rsid w:val="00F104DF"/>
    <w:rsid w:val="00F1231C"/>
    <w:rsid w:val="00F12454"/>
    <w:rsid w:val="00F12B37"/>
    <w:rsid w:val="00F135E8"/>
    <w:rsid w:val="00F154D5"/>
    <w:rsid w:val="00F20712"/>
    <w:rsid w:val="00F23870"/>
    <w:rsid w:val="00F23DD7"/>
    <w:rsid w:val="00F242C6"/>
    <w:rsid w:val="00F26667"/>
    <w:rsid w:val="00F2696E"/>
    <w:rsid w:val="00F302CB"/>
    <w:rsid w:val="00F305AD"/>
    <w:rsid w:val="00F314DB"/>
    <w:rsid w:val="00F31849"/>
    <w:rsid w:val="00F3529D"/>
    <w:rsid w:val="00F36D3F"/>
    <w:rsid w:val="00F37442"/>
    <w:rsid w:val="00F424B8"/>
    <w:rsid w:val="00F43164"/>
    <w:rsid w:val="00F44269"/>
    <w:rsid w:val="00F444E1"/>
    <w:rsid w:val="00F448A4"/>
    <w:rsid w:val="00F46B79"/>
    <w:rsid w:val="00F46B88"/>
    <w:rsid w:val="00F51D53"/>
    <w:rsid w:val="00F523E0"/>
    <w:rsid w:val="00F53DF2"/>
    <w:rsid w:val="00F552F9"/>
    <w:rsid w:val="00F60FC5"/>
    <w:rsid w:val="00F6133C"/>
    <w:rsid w:val="00F618A6"/>
    <w:rsid w:val="00F6215C"/>
    <w:rsid w:val="00F63A43"/>
    <w:rsid w:val="00F63CF8"/>
    <w:rsid w:val="00F64EBD"/>
    <w:rsid w:val="00F650CF"/>
    <w:rsid w:val="00F65836"/>
    <w:rsid w:val="00F66280"/>
    <w:rsid w:val="00F671FD"/>
    <w:rsid w:val="00F67669"/>
    <w:rsid w:val="00F7154E"/>
    <w:rsid w:val="00F72CA6"/>
    <w:rsid w:val="00F75B79"/>
    <w:rsid w:val="00F77721"/>
    <w:rsid w:val="00F77B36"/>
    <w:rsid w:val="00F8069D"/>
    <w:rsid w:val="00F81A2D"/>
    <w:rsid w:val="00F8226C"/>
    <w:rsid w:val="00F827C2"/>
    <w:rsid w:val="00F82AA8"/>
    <w:rsid w:val="00F84CF7"/>
    <w:rsid w:val="00F8650D"/>
    <w:rsid w:val="00F86E99"/>
    <w:rsid w:val="00F87B2F"/>
    <w:rsid w:val="00F90C73"/>
    <w:rsid w:val="00F910EE"/>
    <w:rsid w:val="00F931A0"/>
    <w:rsid w:val="00F9380B"/>
    <w:rsid w:val="00F94999"/>
    <w:rsid w:val="00F95555"/>
    <w:rsid w:val="00F97691"/>
    <w:rsid w:val="00F97D5D"/>
    <w:rsid w:val="00FA06C8"/>
    <w:rsid w:val="00FA3EAB"/>
    <w:rsid w:val="00FA4109"/>
    <w:rsid w:val="00FA5EC0"/>
    <w:rsid w:val="00FA6320"/>
    <w:rsid w:val="00FA6510"/>
    <w:rsid w:val="00FA758F"/>
    <w:rsid w:val="00FB0BB9"/>
    <w:rsid w:val="00FB3031"/>
    <w:rsid w:val="00FB39BE"/>
    <w:rsid w:val="00FB5B36"/>
    <w:rsid w:val="00FB615E"/>
    <w:rsid w:val="00FB70E3"/>
    <w:rsid w:val="00FC1208"/>
    <w:rsid w:val="00FC20D3"/>
    <w:rsid w:val="00FC3055"/>
    <w:rsid w:val="00FC59F8"/>
    <w:rsid w:val="00FC5DCC"/>
    <w:rsid w:val="00FC6292"/>
    <w:rsid w:val="00FD166B"/>
    <w:rsid w:val="00FD267C"/>
    <w:rsid w:val="00FD44D1"/>
    <w:rsid w:val="00FD48FA"/>
    <w:rsid w:val="00FD4AFB"/>
    <w:rsid w:val="00FD4B22"/>
    <w:rsid w:val="00FD4FC6"/>
    <w:rsid w:val="00FD5889"/>
    <w:rsid w:val="00FD7C5F"/>
    <w:rsid w:val="00FE0CD2"/>
    <w:rsid w:val="00FE233A"/>
    <w:rsid w:val="00FE2B4F"/>
    <w:rsid w:val="00FE49F0"/>
    <w:rsid w:val="00FE5446"/>
    <w:rsid w:val="00FE5979"/>
    <w:rsid w:val="00FE6C6B"/>
    <w:rsid w:val="00FE7860"/>
    <w:rsid w:val="00FF5B19"/>
    <w:rsid w:val="00FF5ECD"/>
    <w:rsid w:val="00FF79E9"/>
    <w:rsid w:val="18975478"/>
    <w:rsid w:val="318AABDA"/>
    <w:rsid w:val="35A438FF"/>
    <w:rsid w:val="3E5F45D8"/>
    <w:rsid w:val="4050D7CF"/>
    <w:rsid w:val="477EB9EC"/>
    <w:rsid w:val="4D0438E3"/>
    <w:rsid w:val="5FA9F001"/>
    <w:rsid w:val="67770D6B"/>
    <w:rsid w:val="6882C19A"/>
    <w:rsid w:val="72A2B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602B1"/>
  <w15:docId w15:val="{2755F5C0-04DF-4083-AF45-52E8ACBF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D2"/>
  </w:style>
  <w:style w:type="paragraph" w:styleId="Heading2">
    <w:name w:val="heading 2"/>
    <w:basedOn w:val="Normal"/>
    <w:next w:val="Normal"/>
    <w:link w:val="Heading2Char"/>
    <w:qFormat/>
    <w:rsid w:val="008E4A71"/>
    <w:pPr>
      <w:keepNext/>
      <w:spacing w:after="0" w:line="240" w:lineRule="auto"/>
      <w:outlineLvl w:val="1"/>
    </w:pPr>
    <w:rPr>
      <w:rFonts w:ascii="Arial" w:eastAsia="Times New Roman" w:hAnsi="Arial" w:cs="Times New Roman"/>
      <w:sz w:val="28"/>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E4A71"/>
    <w:rPr>
      <w:rFonts w:ascii="Arial" w:eastAsia="Times New Roman" w:hAnsi="Arial" w:cs="Times New Roman"/>
      <w:sz w:val="28"/>
      <w:szCs w:val="20"/>
      <w:lang w:val="en-US" w:eastAsia="en-GB"/>
    </w:rPr>
  </w:style>
  <w:style w:type="paragraph" w:styleId="BodyText">
    <w:name w:val="Body Text"/>
    <w:basedOn w:val="Normal"/>
    <w:link w:val="BodyTextChar"/>
    <w:rsid w:val="008E4A71"/>
    <w:pPr>
      <w:spacing w:after="0" w:line="240" w:lineRule="auto"/>
    </w:pPr>
    <w:rPr>
      <w:rFonts w:ascii="Arial" w:eastAsia="Times New Roman" w:hAnsi="Arial" w:cs="Times New Roman"/>
      <w:sz w:val="28"/>
      <w:szCs w:val="20"/>
      <w:lang w:val="en-US" w:eastAsia="en-GB"/>
    </w:rPr>
  </w:style>
  <w:style w:type="character" w:customStyle="1" w:styleId="BodyTextChar">
    <w:name w:val="Body Text Char"/>
    <w:basedOn w:val="DefaultParagraphFont"/>
    <w:link w:val="BodyText"/>
    <w:rsid w:val="008E4A71"/>
    <w:rPr>
      <w:rFonts w:ascii="Arial" w:eastAsia="Times New Roman" w:hAnsi="Arial" w:cs="Times New Roman"/>
      <w:sz w:val="28"/>
      <w:szCs w:val="20"/>
      <w:lang w:val="en-US" w:eastAsia="en-GB"/>
    </w:rPr>
  </w:style>
  <w:style w:type="paragraph" w:styleId="Footer">
    <w:name w:val="footer"/>
    <w:basedOn w:val="Normal"/>
    <w:link w:val="FooterChar"/>
    <w:uiPriority w:val="99"/>
    <w:unhideWhenUsed/>
    <w:rsid w:val="00E21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48E"/>
  </w:style>
  <w:style w:type="character" w:styleId="CommentReference">
    <w:name w:val="annotation reference"/>
    <w:basedOn w:val="DefaultParagraphFont"/>
    <w:uiPriority w:val="99"/>
    <w:semiHidden/>
    <w:unhideWhenUsed/>
    <w:rsid w:val="00E2148E"/>
    <w:rPr>
      <w:sz w:val="16"/>
      <w:szCs w:val="16"/>
    </w:rPr>
  </w:style>
  <w:style w:type="paragraph" w:styleId="CommentText">
    <w:name w:val="annotation text"/>
    <w:basedOn w:val="Normal"/>
    <w:link w:val="CommentTextChar"/>
    <w:uiPriority w:val="99"/>
    <w:unhideWhenUsed/>
    <w:rsid w:val="00E2148E"/>
    <w:pPr>
      <w:spacing w:after="200" w:line="240" w:lineRule="auto"/>
    </w:pPr>
    <w:rPr>
      <w:sz w:val="20"/>
      <w:szCs w:val="20"/>
    </w:rPr>
  </w:style>
  <w:style w:type="character" w:customStyle="1" w:styleId="CommentTextChar">
    <w:name w:val="Comment Text Char"/>
    <w:basedOn w:val="DefaultParagraphFont"/>
    <w:link w:val="CommentText"/>
    <w:uiPriority w:val="99"/>
    <w:rsid w:val="00E2148E"/>
    <w:rPr>
      <w:sz w:val="20"/>
      <w:szCs w:val="20"/>
    </w:rPr>
  </w:style>
  <w:style w:type="paragraph" w:customStyle="1" w:styleId="PKFNormalNumbered">
    <w:name w:val="PKF Normal Numbered"/>
    <w:basedOn w:val="Normal"/>
    <w:link w:val="PKFNormalNumberedChar"/>
    <w:rsid w:val="00E2148E"/>
    <w:pPr>
      <w:numPr>
        <w:ilvl w:val="1"/>
        <w:numId w:val="1"/>
      </w:numPr>
      <w:tabs>
        <w:tab w:val="left" w:pos="1701"/>
        <w:tab w:val="left" w:pos="2552"/>
        <w:tab w:val="left" w:pos="3402"/>
        <w:tab w:val="left" w:pos="4253"/>
        <w:tab w:val="left" w:pos="5103"/>
        <w:tab w:val="left" w:pos="5954"/>
        <w:tab w:val="left" w:pos="6804"/>
      </w:tabs>
      <w:spacing w:after="180" w:line="360" w:lineRule="auto"/>
      <w:jc w:val="both"/>
    </w:pPr>
    <w:rPr>
      <w:rFonts w:ascii="Arial" w:eastAsia="Times New Roman" w:hAnsi="Arial" w:cs="Times New Roman"/>
      <w:sz w:val="20"/>
      <w:szCs w:val="20"/>
      <w:lang w:eastAsia="en-GB"/>
    </w:rPr>
  </w:style>
  <w:style w:type="paragraph" w:customStyle="1" w:styleId="PKFHeading1Numbered">
    <w:name w:val="PKF Heading 1 Numbered"/>
    <w:basedOn w:val="Normal"/>
    <w:next w:val="PKFNormalNumbered"/>
    <w:rsid w:val="00E2148E"/>
    <w:pPr>
      <w:keepNext/>
      <w:numPr>
        <w:numId w:val="1"/>
      </w:numPr>
      <w:spacing w:before="240" w:after="240" w:line="240" w:lineRule="auto"/>
      <w:outlineLvl w:val="0"/>
    </w:pPr>
    <w:rPr>
      <w:rFonts w:ascii="Arial" w:eastAsia="Times New Roman" w:hAnsi="Arial" w:cs="Arial"/>
      <w:b/>
      <w:bCs/>
      <w:color w:val="0E2B8D"/>
      <w:kern w:val="32"/>
      <w:sz w:val="36"/>
      <w:szCs w:val="36"/>
      <w:lang w:eastAsia="en-GB"/>
    </w:rPr>
  </w:style>
  <w:style w:type="character" w:customStyle="1" w:styleId="PKFNormalNumberedChar">
    <w:name w:val="PKF Normal Numbered Char"/>
    <w:link w:val="PKFNormalNumbered"/>
    <w:locked/>
    <w:rsid w:val="00E2148E"/>
    <w:rPr>
      <w:rFonts w:ascii="Arial" w:eastAsia="Times New Roman" w:hAnsi="Arial" w:cs="Times New Roman"/>
      <w:sz w:val="20"/>
      <w:szCs w:val="20"/>
      <w:lang w:eastAsia="en-GB"/>
    </w:rPr>
  </w:style>
  <w:style w:type="paragraph" w:styleId="ListParagraph">
    <w:name w:val="List Paragraph"/>
    <w:basedOn w:val="Normal"/>
    <w:uiPriority w:val="34"/>
    <w:qFormat/>
    <w:rsid w:val="00E2148E"/>
    <w:pPr>
      <w:spacing w:after="200" w:line="276" w:lineRule="auto"/>
      <w:ind w:left="720"/>
      <w:contextualSpacing/>
    </w:pPr>
  </w:style>
  <w:style w:type="paragraph" w:styleId="BalloonText">
    <w:name w:val="Balloon Text"/>
    <w:basedOn w:val="Normal"/>
    <w:link w:val="BalloonTextChar"/>
    <w:uiPriority w:val="99"/>
    <w:semiHidden/>
    <w:unhideWhenUsed/>
    <w:rsid w:val="00E21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48E"/>
    <w:rPr>
      <w:rFonts w:ascii="Segoe UI" w:hAnsi="Segoe UI" w:cs="Segoe UI"/>
      <w:sz w:val="18"/>
      <w:szCs w:val="18"/>
    </w:rPr>
  </w:style>
  <w:style w:type="paragraph" w:styleId="EndnoteText">
    <w:name w:val="endnote text"/>
    <w:basedOn w:val="Normal"/>
    <w:link w:val="EndnoteTextChar"/>
    <w:uiPriority w:val="99"/>
    <w:semiHidden/>
    <w:unhideWhenUsed/>
    <w:rsid w:val="00F671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71FD"/>
    <w:rPr>
      <w:sz w:val="20"/>
      <w:szCs w:val="20"/>
    </w:rPr>
  </w:style>
  <w:style w:type="character" w:styleId="EndnoteReference">
    <w:name w:val="endnote reference"/>
    <w:basedOn w:val="DefaultParagraphFont"/>
    <w:uiPriority w:val="99"/>
    <w:semiHidden/>
    <w:unhideWhenUsed/>
    <w:rsid w:val="00F671FD"/>
    <w:rPr>
      <w:vertAlign w:val="superscript"/>
    </w:rPr>
  </w:style>
  <w:style w:type="paragraph" w:styleId="Header">
    <w:name w:val="header"/>
    <w:basedOn w:val="Normal"/>
    <w:link w:val="HeaderChar"/>
    <w:uiPriority w:val="99"/>
    <w:unhideWhenUsed/>
    <w:rsid w:val="00F67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1FD"/>
  </w:style>
  <w:style w:type="paragraph" w:styleId="FootnoteText">
    <w:name w:val="footnote text"/>
    <w:basedOn w:val="Normal"/>
    <w:link w:val="FootnoteTextChar"/>
    <w:uiPriority w:val="99"/>
    <w:semiHidden/>
    <w:unhideWhenUsed/>
    <w:rsid w:val="00F671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1FD"/>
    <w:rPr>
      <w:sz w:val="20"/>
      <w:szCs w:val="20"/>
    </w:rPr>
  </w:style>
  <w:style w:type="character" w:styleId="FootnoteReference">
    <w:name w:val="footnote reference"/>
    <w:basedOn w:val="DefaultParagraphFont"/>
    <w:uiPriority w:val="99"/>
    <w:unhideWhenUsed/>
    <w:rsid w:val="00F671FD"/>
    <w:rPr>
      <w:vertAlign w:val="superscript"/>
    </w:rPr>
  </w:style>
  <w:style w:type="paragraph" w:styleId="CommentSubject">
    <w:name w:val="annotation subject"/>
    <w:basedOn w:val="CommentText"/>
    <w:next w:val="CommentText"/>
    <w:link w:val="CommentSubjectChar"/>
    <w:uiPriority w:val="99"/>
    <w:semiHidden/>
    <w:unhideWhenUsed/>
    <w:rsid w:val="002546AF"/>
    <w:pPr>
      <w:spacing w:after="160"/>
    </w:pPr>
    <w:rPr>
      <w:b/>
      <w:bCs/>
    </w:rPr>
  </w:style>
  <w:style w:type="character" w:customStyle="1" w:styleId="CommentSubjectChar">
    <w:name w:val="Comment Subject Char"/>
    <w:basedOn w:val="CommentTextChar"/>
    <w:link w:val="CommentSubject"/>
    <w:uiPriority w:val="99"/>
    <w:semiHidden/>
    <w:rsid w:val="002546AF"/>
    <w:rPr>
      <w:b/>
      <w:bCs/>
      <w:sz w:val="20"/>
      <w:szCs w:val="20"/>
    </w:rPr>
  </w:style>
  <w:style w:type="paragraph" w:customStyle="1" w:styleId="Default">
    <w:name w:val="Default"/>
    <w:rsid w:val="006B5F1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C23C7"/>
    <w:rPr>
      <w:color w:val="0563C1" w:themeColor="hyperlink"/>
      <w:u w:val="single"/>
    </w:rPr>
  </w:style>
  <w:style w:type="character" w:customStyle="1" w:styleId="UnresolvedMention1">
    <w:name w:val="Unresolved Mention1"/>
    <w:basedOn w:val="DefaultParagraphFont"/>
    <w:uiPriority w:val="99"/>
    <w:semiHidden/>
    <w:unhideWhenUsed/>
    <w:rsid w:val="009C23C7"/>
    <w:rPr>
      <w:color w:val="605E5C"/>
      <w:shd w:val="clear" w:color="auto" w:fill="E1DFDD"/>
    </w:rPr>
  </w:style>
  <w:style w:type="paragraph" w:styleId="Revision">
    <w:name w:val="Revision"/>
    <w:hidden/>
    <w:uiPriority w:val="99"/>
    <w:semiHidden/>
    <w:rsid w:val="00781DC6"/>
    <w:pPr>
      <w:spacing w:after="0" w:line="240" w:lineRule="auto"/>
    </w:pPr>
  </w:style>
  <w:style w:type="paragraph" w:styleId="NormalWeb">
    <w:name w:val="Normal (Web)"/>
    <w:basedOn w:val="Normal"/>
    <w:uiPriority w:val="99"/>
    <w:unhideWhenUsed/>
    <w:rsid w:val="006736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11">
    <w:name w:val="cf11"/>
    <w:basedOn w:val="DefaultParagraphFont"/>
    <w:rsid w:val="00DA5E51"/>
    <w:rPr>
      <w:rFonts w:ascii="Segoe UI" w:hAnsi="Segoe UI" w:cs="Segoe UI" w:hint="default"/>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300731">
      <w:bodyDiv w:val="1"/>
      <w:marLeft w:val="0"/>
      <w:marRight w:val="0"/>
      <w:marTop w:val="0"/>
      <w:marBottom w:val="0"/>
      <w:divBdr>
        <w:top w:val="none" w:sz="0" w:space="0" w:color="auto"/>
        <w:left w:val="none" w:sz="0" w:space="0" w:color="auto"/>
        <w:bottom w:val="none" w:sz="0" w:space="0" w:color="auto"/>
        <w:right w:val="none" w:sz="0" w:space="0" w:color="auto"/>
      </w:divBdr>
    </w:div>
    <w:div w:id="537284407">
      <w:bodyDiv w:val="1"/>
      <w:marLeft w:val="0"/>
      <w:marRight w:val="0"/>
      <w:marTop w:val="0"/>
      <w:marBottom w:val="0"/>
      <w:divBdr>
        <w:top w:val="none" w:sz="0" w:space="0" w:color="auto"/>
        <w:left w:val="none" w:sz="0" w:space="0" w:color="auto"/>
        <w:bottom w:val="none" w:sz="0" w:space="0" w:color="auto"/>
        <w:right w:val="none" w:sz="0" w:space="0" w:color="auto"/>
      </w:divBdr>
      <w:divsChild>
        <w:div w:id="193540374">
          <w:marLeft w:val="0"/>
          <w:marRight w:val="0"/>
          <w:marTop w:val="0"/>
          <w:marBottom w:val="0"/>
          <w:divBdr>
            <w:top w:val="none" w:sz="0" w:space="0" w:color="auto"/>
            <w:left w:val="none" w:sz="0" w:space="0" w:color="auto"/>
            <w:bottom w:val="none" w:sz="0" w:space="0" w:color="auto"/>
            <w:right w:val="none" w:sz="0" w:space="0" w:color="auto"/>
          </w:divBdr>
          <w:divsChild>
            <w:div w:id="959845668">
              <w:marLeft w:val="0"/>
              <w:marRight w:val="0"/>
              <w:marTop w:val="0"/>
              <w:marBottom w:val="0"/>
              <w:divBdr>
                <w:top w:val="none" w:sz="0" w:space="0" w:color="auto"/>
                <w:left w:val="none" w:sz="0" w:space="0" w:color="auto"/>
                <w:bottom w:val="none" w:sz="0" w:space="0" w:color="auto"/>
                <w:right w:val="none" w:sz="0" w:space="0" w:color="auto"/>
              </w:divBdr>
              <w:divsChild>
                <w:div w:id="488447627">
                  <w:marLeft w:val="0"/>
                  <w:marRight w:val="0"/>
                  <w:marTop w:val="0"/>
                  <w:marBottom w:val="0"/>
                  <w:divBdr>
                    <w:top w:val="none" w:sz="0" w:space="0" w:color="auto"/>
                    <w:left w:val="none" w:sz="0" w:space="0" w:color="auto"/>
                    <w:bottom w:val="none" w:sz="0" w:space="0" w:color="auto"/>
                    <w:right w:val="none" w:sz="0" w:space="0" w:color="auto"/>
                  </w:divBdr>
                  <w:divsChild>
                    <w:div w:id="3737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86099">
      <w:bodyDiv w:val="1"/>
      <w:marLeft w:val="0"/>
      <w:marRight w:val="0"/>
      <w:marTop w:val="0"/>
      <w:marBottom w:val="0"/>
      <w:divBdr>
        <w:top w:val="none" w:sz="0" w:space="0" w:color="auto"/>
        <w:left w:val="none" w:sz="0" w:space="0" w:color="auto"/>
        <w:bottom w:val="none" w:sz="0" w:space="0" w:color="auto"/>
        <w:right w:val="none" w:sz="0" w:space="0" w:color="auto"/>
      </w:divBdr>
    </w:div>
    <w:div w:id="1727532192">
      <w:bodyDiv w:val="1"/>
      <w:marLeft w:val="0"/>
      <w:marRight w:val="0"/>
      <w:marTop w:val="0"/>
      <w:marBottom w:val="0"/>
      <w:divBdr>
        <w:top w:val="none" w:sz="0" w:space="0" w:color="auto"/>
        <w:left w:val="none" w:sz="0" w:space="0" w:color="auto"/>
        <w:bottom w:val="none" w:sz="0" w:space="0" w:color="auto"/>
        <w:right w:val="none" w:sz="0" w:space="0" w:color="auto"/>
      </w:divBdr>
    </w:div>
    <w:div w:id="1872956710">
      <w:bodyDiv w:val="1"/>
      <w:marLeft w:val="0"/>
      <w:marRight w:val="0"/>
      <w:marTop w:val="0"/>
      <w:marBottom w:val="0"/>
      <w:divBdr>
        <w:top w:val="none" w:sz="0" w:space="0" w:color="auto"/>
        <w:left w:val="none" w:sz="0" w:space="0" w:color="auto"/>
        <w:bottom w:val="none" w:sz="0" w:space="0" w:color="auto"/>
        <w:right w:val="none" w:sz="0" w:space="0" w:color="auto"/>
      </w:divBdr>
    </w:div>
    <w:div w:id="2051029079">
      <w:bodyDiv w:val="1"/>
      <w:marLeft w:val="0"/>
      <w:marRight w:val="0"/>
      <w:marTop w:val="0"/>
      <w:marBottom w:val="0"/>
      <w:divBdr>
        <w:top w:val="none" w:sz="0" w:space="0" w:color="auto"/>
        <w:left w:val="none" w:sz="0" w:space="0" w:color="auto"/>
        <w:bottom w:val="none" w:sz="0" w:space="0" w:color="auto"/>
        <w:right w:val="none" w:sz="0" w:space="0" w:color="auto"/>
      </w:divBdr>
      <w:divsChild>
        <w:div w:id="2015524625">
          <w:marLeft w:val="0"/>
          <w:marRight w:val="0"/>
          <w:marTop w:val="0"/>
          <w:marBottom w:val="0"/>
          <w:divBdr>
            <w:top w:val="none" w:sz="0" w:space="0" w:color="auto"/>
            <w:left w:val="none" w:sz="0" w:space="0" w:color="auto"/>
            <w:bottom w:val="none" w:sz="0" w:space="0" w:color="auto"/>
            <w:right w:val="none" w:sz="0" w:space="0" w:color="auto"/>
          </w:divBdr>
          <w:divsChild>
            <w:div w:id="924996236">
              <w:marLeft w:val="0"/>
              <w:marRight w:val="0"/>
              <w:marTop w:val="0"/>
              <w:marBottom w:val="0"/>
              <w:divBdr>
                <w:top w:val="none" w:sz="0" w:space="0" w:color="auto"/>
                <w:left w:val="none" w:sz="0" w:space="0" w:color="auto"/>
                <w:bottom w:val="none" w:sz="0" w:space="0" w:color="auto"/>
                <w:right w:val="none" w:sz="0" w:space="0" w:color="auto"/>
              </w:divBdr>
              <w:divsChild>
                <w:div w:id="148192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dc-uk.org/professionals/specialist-lis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C676506736AD4DA9CFAB02659F7C7C" ma:contentTypeVersion="16" ma:contentTypeDescription="Create a new document." ma:contentTypeScope="" ma:versionID="13506bfba1b6d61c8e9f580c140f7ff3">
  <xsd:schema xmlns:xsd="http://www.w3.org/2001/XMLSchema" xmlns:xs="http://www.w3.org/2001/XMLSchema" xmlns:p="http://schemas.microsoft.com/office/2006/metadata/properties" xmlns:ns2="bc679003-6e56-4323-9181-2823256ee718" xmlns:ns3="57bdfe54-2ac7-4ec6-8151-2191b86722a0" targetNamespace="http://schemas.microsoft.com/office/2006/metadata/properties" ma:root="true" ma:fieldsID="5721a846a43e5e44378e27ad70c42f3d" ns2:_="" ns3:_="">
    <xsd:import namespace="bc679003-6e56-4323-9181-2823256ee718"/>
    <xsd:import namespace="57bdfe54-2ac7-4ec6-8151-2191b8672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79003-6e56-4323-9181-2823256ee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0a7b7d-7d5e-4007-bb9b-fe056b10fb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bdfe54-2ac7-4ec6-8151-2191b8672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ba7631-dfb8-4abb-982e-6f6f2aa131f3}" ma:internalName="TaxCatchAll" ma:showField="CatchAllData" ma:web="57bdfe54-2ac7-4ec6-8151-2191b8672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679003-6e56-4323-9181-2823256ee718">
      <Terms xmlns="http://schemas.microsoft.com/office/infopath/2007/PartnerControls"/>
    </lcf76f155ced4ddcb4097134ff3c332f>
    <TaxCatchAll xmlns="57bdfe54-2ac7-4ec6-8151-2191b86722a0" xsi:nil="true"/>
    <SharedWithUsers xmlns="57bdfe54-2ac7-4ec6-8151-2191b86722a0">
      <UserInfo>
        <DisplayName>Jane Luker</DisplayName>
        <AccountId>21</AccountId>
        <AccountType/>
      </UserInfo>
      <UserInfo>
        <DisplayName>John Darby</DisplayName>
        <AccountId>50</AccountId>
        <AccountType/>
      </UserInfo>
      <UserInfo>
        <DisplayName>Sirisha Ponduri</DisplayName>
        <AccountId>496</AccountId>
        <AccountType/>
      </UserInfo>
      <UserInfo>
        <DisplayName>Ellis, Pamela</DisplayName>
        <AccountId>75</AccountId>
        <AccountType/>
      </UserInfo>
      <UserInfo>
        <DisplayName>Monika Lemanska</DisplayName>
        <AccountId>101</AccountId>
        <AccountType/>
      </UserInfo>
      <UserInfo>
        <DisplayName>Emily Jones</DisplayName>
        <AccountId>16</AccountId>
        <AccountType/>
      </UserInfo>
      <UserInfo>
        <DisplayName>Andy Gadsby</DisplayName>
        <AccountId>249</AccountId>
        <AccountType/>
      </UserInfo>
      <UserInfo>
        <DisplayName>Emma Jones</DisplayName>
        <AccountId>499</AccountId>
        <AccountType/>
      </UserInfo>
      <UserInfo>
        <DisplayName>Ilana Langdon</DisplayName>
        <AccountId>501</AccountId>
        <AccountType/>
      </UserInfo>
      <UserInfo>
        <DisplayName>Matthew Hill</DisplayName>
        <AccountId>12</AccountId>
        <AccountType/>
      </UserInfo>
    </SharedWithUsers>
  </documentManagement>
</p:properties>
</file>

<file path=customXml/itemProps1.xml><?xml version="1.0" encoding="utf-8"?>
<ds:datastoreItem xmlns:ds="http://schemas.openxmlformats.org/officeDocument/2006/customXml" ds:itemID="{393677C6-C296-4325-9992-15EDD37857F4}">
  <ds:schemaRefs>
    <ds:schemaRef ds:uri="http://schemas.openxmlformats.org/officeDocument/2006/bibliography"/>
  </ds:schemaRefs>
</ds:datastoreItem>
</file>

<file path=customXml/itemProps2.xml><?xml version="1.0" encoding="utf-8"?>
<ds:datastoreItem xmlns:ds="http://schemas.openxmlformats.org/officeDocument/2006/customXml" ds:itemID="{63977726-7BFF-4C7D-8656-EE610ACB8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79003-6e56-4323-9181-2823256ee718"/>
    <ds:schemaRef ds:uri="57bdfe54-2ac7-4ec6-8151-2191b8672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5B3EEC-B663-4BE0-9EC7-9F6EAA7E3DD2}">
  <ds:schemaRefs>
    <ds:schemaRef ds:uri="http://schemas.microsoft.com/sharepoint/v3/contenttype/forms"/>
  </ds:schemaRefs>
</ds:datastoreItem>
</file>

<file path=customXml/itemProps4.xml><?xml version="1.0" encoding="utf-8"?>
<ds:datastoreItem xmlns:ds="http://schemas.openxmlformats.org/officeDocument/2006/customXml" ds:itemID="{A3E49204-4632-4F16-92DC-34E3D89AC5B9}">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9fa115e3-3db7-45fd-92ab-5783e424c4aa"/>
    <ds:schemaRef ds:uri="094893c1-b3ce-419a-8e69-08beb892be7f"/>
    <ds:schemaRef ds:uri="http://www.w3.org/XML/1998/namespace"/>
    <ds:schemaRef ds:uri="http://purl.org/dc/dcmitype/"/>
    <ds:schemaRef ds:uri="bc679003-6e56-4323-9181-2823256ee718"/>
    <ds:schemaRef ds:uri="57bdfe54-2ac7-4ec6-8151-2191b86722a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8005</Words>
  <Characters>45631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Counsell-Hubbard</dc:creator>
  <cp:keywords/>
  <dc:description/>
  <cp:lastModifiedBy>Martin McElvanna</cp:lastModifiedBy>
  <cp:revision>17</cp:revision>
  <dcterms:created xsi:type="dcterms:W3CDTF">2022-10-11T13:58:00Z</dcterms:created>
  <dcterms:modified xsi:type="dcterms:W3CDTF">2022-10-11T14:05:00Z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0x010100F3C676506736AD4DA9CFAB02659F7C7C</vt:lpwstr>
  </property>
  <property fmtid="{D5CDD505-2E9C-101B-9397-08002B2CF9AE}" pid="3" name="MediaServiceImageTags">
    <vt:lpwstr/>
  </property>
</Properties>
</file>