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C9501" w14:textId="6D35EC51" w:rsidR="0072174B" w:rsidRPr="00165533" w:rsidRDefault="00351218">
      <w:r>
        <w:t xml:space="preserve"> </w:t>
      </w:r>
      <w:r w:rsidR="00711964" w:rsidRPr="00165533">
        <w:rPr>
          <w:noProof/>
        </w:rPr>
        <w:drawing>
          <wp:inline distT="0" distB="0" distL="0" distR="0" wp14:anchorId="620F4414" wp14:editId="7EB39F9C">
            <wp:extent cx="1613535" cy="1200150"/>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3535" cy="1200150"/>
                    </a:xfrm>
                    <a:prstGeom prst="rect">
                      <a:avLst/>
                    </a:prstGeom>
                    <a:noFill/>
                    <a:ln>
                      <a:noFill/>
                    </a:ln>
                  </pic:spPr>
                </pic:pic>
              </a:graphicData>
            </a:graphic>
          </wp:inline>
        </w:drawing>
      </w:r>
    </w:p>
    <w:p w14:paraId="598D2D0A" w14:textId="77777777" w:rsidR="00790925" w:rsidRPr="00165533" w:rsidRDefault="00790925"/>
    <w:p w14:paraId="2F635EA5" w14:textId="77777777" w:rsidR="00D672A1" w:rsidRPr="00165533" w:rsidRDefault="00D672A1" w:rsidP="00A25B60">
      <w:pPr>
        <w:spacing w:after="0"/>
        <w:rPr>
          <w:rFonts w:ascii="Arial" w:hAnsi="Arial" w:cs="Arial"/>
          <w:b/>
          <w:color w:val="1F3864" w:themeColor="accent1" w:themeShade="80"/>
          <w:sz w:val="40"/>
        </w:rPr>
      </w:pPr>
    </w:p>
    <w:p w14:paraId="124711E4" w14:textId="755A9718" w:rsidR="00A25B60" w:rsidRPr="00165533" w:rsidRDefault="00790925" w:rsidP="00A25B60">
      <w:pPr>
        <w:spacing w:after="0"/>
        <w:rPr>
          <w:rFonts w:ascii="Arial" w:hAnsi="Arial" w:cs="Arial"/>
          <w:b/>
          <w:color w:val="1F3864" w:themeColor="accent1" w:themeShade="80"/>
          <w:sz w:val="40"/>
        </w:rPr>
      </w:pPr>
      <w:r w:rsidRPr="00165533">
        <w:rPr>
          <w:rFonts w:ascii="Arial" w:hAnsi="Arial" w:cs="Arial"/>
          <w:b/>
          <w:color w:val="1F3864" w:themeColor="accent1" w:themeShade="80"/>
          <w:sz w:val="40"/>
        </w:rPr>
        <w:t>Education Quality Assurance Inspection Report</w:t>
      </w:r>
    </w:p>
    <w:p w14:paraId="7EA2C1D7" w14:textId="77777777" w:rsidR="00711964" w:rsidRPr="00165533" w:rsidRDefault="00711964" w:rsidP="00A25B60">
      <w:pPr>
        <w:spacing w:after="0"/>
        <w:rPr>
          <w:rFonts w:ascii="Calibri" w:hAnsi="Calibri" w:cs="Calibri"/>
          <w:b/>
          <w:color w:val="1F3864" w:themeColor="accent1" w:themeShade="80"/>
          <w:sz w:val="40"/>
        </w:rPr>
      </w:pPr>
    </w:p>
    <w:tbl>
      <w:tblPr>
        <w:tblStyle w:val="TableGrid"/>
        <w:tblW w:w="9067" w:type="dxa"/>
        <w:tblLook w:val="04A0" w:firstRow="1" w:lastRow="0" w:firstColumn="1" w:lastColumn="0" w:noHBand="0" w:noVBand="1"/>
      </w:tblPr>
      <w:tblGrid>
        <w:gridCol w:w="4390"/>
        <w:gridCol w:w="4677"/>
      </w:tblGrid>
      <w:tr w:rsidR="000A6A8E" w:rsidRPr="00165533" w14:paraId="0B2FE623" w14:textId="77777777" w:rsidTr="000A6A8E">
        <w:tc>
          <w:tcPr>
            <w:tcW w:w="4390" w:type="dxa"/>
            <w:shd w:val="clear" w:color="auto" w:fill="1F3864" w:themeFill="accent1" w:themeFillShade="80"/>
          </w:tcPr>
          <w:p w14:paraId="5FAC37F9" w14:textId="77777777" w:rsidR="00045041" w:rsidRPr="00165533" w:rsidRDefault="00045041">
            <w:pPr>
              <w:rPr>
                <w:rFonts w:ascii="Arial" w:hAnsi="Arial" w:cs="Arial"/>
                <w:color w:val="FFFFFF" w:themeColor="background1"/>
                <w:sz w:val="28"/>
              </w:rPr>
            </w:pPr>
          </w:p>
          <w:p w14:paraId="3B681A62" w14:textId="77777777" w:rsidR="000A6A8E" w:rsidRPr="00165533" w:rsidRDefault="000A6A8E">
            <w:pPr>
              <w:rPr>
                <w:rFonts w:ascii="Arial" w:hAnsi="Arial" w:cs="Arial"/>
                <w:color w:val="FFFFFF" w:themeColor="background1"/>
                <w:sz w:val="28"/>
              </w:rPr>
            </w:pPr>
            <w:r w:rsidRPr="00165533">
              <w:rPr>
                <w:rFonts w:ascii="Arial" w:hAnsi="Arial" w:cs="Arial"/>
                <w:color w:val="FFFFFF" w:themeColor="background1"/>
                <w:sz w:val="28"/>
              </w:rPr>
              <w:t xml:space="preserve">Education Provider/Awarding Body </w:t>
            </w:r>
          </w:p>
          <w:p w14:paraId="154D96B0" w14:textId="1E989C2D" w:rsidR="00045041" w:rsidRPr="00165533" w:rsidRDefault="00045041">
            <w:pPr>
              <w:rPr>
                <w:rFonts w:ascii="Arial" w:hAnsi="Arial" w:cs="Arial"/>
                <w:color w:val="FFFFFF" w:themeColor="background1"/>
                <w:sz w:val="28"/>
              </w:rPr>
            </w:pPr>
          </w:p>
        </w:tc>
        <w:tc>
          <w:tcPr>
            <w:tcW w:w="4677" w:type="dxa"/>
            <w:shd w:val="clear" w:color="auto" w:fill="1F3864" w:themeFill="accent1" w:themeFillShade="80"/>
          </w:tcPr>
          <w:p w14:paraId="7103E87A" w14:textId="77777777" w:rsidR="00045041" w:rsidRPr="00165533" w:rsidRDefault="00045041">
            <w:pPr>
              <w:rPr>
                <w:rFonts w:ascii="Arial" w:hAnsi="Arial" w:cs="Arial"/>
                <w:color w:val="FFFFFF" w:themeColor="background1"/>
                <w:sz w:val="28"/>
              </w:rPr>
            </w:pPr>
          </w:p>
          <w:p w14:paraId="5C9A978E" w14:textId="23C8FFA3" w:rsidR="000A6A8E" w:rsidRPr="00165533" w:rsidRDefault="000A6A8E">
            <w:pPr>
              <w:rPr>
                <w:rFonts w:ascii="Arial" w:hAnsi="Arial" w:cs="Arial"/>
                <w:color w:val="FFFFFF" w:themeColor="background1"/>
                <w:sz w:val="28"/>
              </w:rPr>
            </w:pPr>
            <w:r w:rsidRPr="00165533">
              <w:rPr>
                <w:rFonts w:ascii="Arial" w:hAnsi="Arial" w:cs="Arial"/>
                <w:color w:val="FFFFFF" w:themeColor="background1"/>
                <w:sz w:val="28"/>
              </w:rPr>
              <w:t>Programme/Award</w:t>
            </w:r>
          </w:p>
        </w:tc>
      </w:tr>
      <w:tr w:rsidR="000A6A8E" w:rsidRPr="00165533" w14:paraId="3DC8E843" w14:textId="77777777" w:rsidTr="000A6A8E">
        <w:tc>
          <w:tcPr>
            <w:tcW w:w="4390" w:type="dxa"/>
          </w:tcPr>
          <w:p w14:paraId="505EF83D" w14:textId="77777777" w:rsidR="00045041" w:rsidRPr="00165533" w:rsidRDefault="00045041">
            <w:pPr>
              <w:rPr>
                <w:rFonts w:ascii="Arial" w:hAnsi="Arial" w:cs="Arial"/>
                <w:color w:val="1F3864" w:themeColor="accent1" w:themeShade="80"/>
                <w:sz w:val="28"/>
              </w:rPr>
            </w:pPr>
          </w:p>
          <w:p w14:paraId="7386C544" w14:textId="77777777" w:rsidR="000A6A8E" w:rsidRPr="00165533" w:rsidRDefault="004871E3">
            <w:pPr>
              <w:rPr>
                <w:rFonts w:ascii="Arial" w:hAnsi="Arial" w:cs="Arial"/>
                <w:color w:val="1F3864" w:themeColor="accent1" w:themeShade="80"/>
                <w:sz w:val="28"/>
              </w:rPr>
            </w:pPr>
            <w:r w:rsidRPr="00165533">
              <w:rPr>
                <w:rFonts w:ascii="Arial" w:hAnsi="Arial" w:cs="Arial"/>
                <w:color w:val="1F3864" w:themeColor="accent1" w:themeShade="80"/>
                <w:sz w:val="28"/>
              </w:rPr>
              <w:t>Cardiff University</w:t>
            </w:r>
          </w:p>
          <w:p w14:paraId="479C934C" w14:textId="3DFA8F79" w:rsidR="00045041" w:rsidRPr="00165533" w:rsidRDefault="00045041">
            <w:pPr>
              <w:rPr>
                <w:rFonts w:ascii="Arial" w:hAnsi="Arial" w:cs="Arial"/>
                <w:color w:val="1F3864" w:themeColor="accent1" w:themeShade="80"/>
                <w:sz w:val="28"/>
              </w:rPr>
            </w:pPr>
          </w:p>
        </w:tc>
        <w:tc>
          <w:tcPr>
            <w:tcW w:w="4677" w:type="dxa"/>
          </w:tcPr>
          <w:p w14:paraId="129357E4" w14:textId="77777777" w:rsidR="00045041" w:rsidRPr="00165533" w:rsidRDefault="00045041" w:rsidP="00055147">
            <w:pPr>
              <w:rPr>
                <w:rFonts w:ascii="Arial" w:hAnsi="Arial" w:cs="Arial"/>
                <w:color w:val="1F3864" w:themeColor="accent1" w:themeShade="80"/>
                <w:sz w:val="28"/>
              </w:rPr>
            </w:pPr>
          </w:p>
          <w:p w14:paraId="5CCBA87E" w14:textId="144ABF23" w:rsidR="000A6A8E" w:rsidRPr="00165533" w:rsidRDefault="00055147" w:rsidP="00055147">
            <w:pPr>
              <w:rPr>
                <w:rFonts w:ascii="Arial" w:hAnsi="Arial" w:cs="Arial"/>
                <w:color w:val="1F3864" w:themeColor="accent1" w:themeShade="80"/>
                <w:sz w:val="28"/>
              </w:rPr>
            </w:pPr>
            <w:r w:rsidRPr="00165533">
              <w:rPr>
                <w:rFonts w:ascii="Arial" w:hAnsi="Arial" w:cs="Arial"/>
                <w:color w:val="1F3864" w:themeColor="accent1" w:themeShade="80"/>
                <w:sz w:val="28"/>
              </w:rPr>
              <w:t>Bachelor of Dental Surgery (BDS)</w:t>
            </w:r>
            <w:r w:rsidR="00A428CC" w:rsidRPr="00165533">
              <w:rPr>
                <w:rFonts w:ascii="Arial" w:hAnsi="Arial" w:cs="Arial"/>
                <w:color w:val="1F3864" w:themeColor="accent1" w:themeShade="80"/>
                <w:sz w:val="28"/>
              </w:rPr>
              <w:t xml:space="preserve"> </w:t>
            </w:r>
          </w:p>
        </w:tc>
      </w:tr>
    </w:tbl>
    <w:p w14:paraId="0F67ED43" w14:textId="77777777" w:rsidR="00A25B60" w:rsidRPr="00165533" w:rsidRDefault="00A25B60">
      <w:pPr>
        <w:rPr>
          <w:rFonts w:ascii="Arial" w:hAnsi="Arial" w:cs="Arial"/>
          <w:color w:val="1F3864" w:themeColor="accent1" w:themeShade="80"/>
          <w:sz w:val="28"/>
        </w:rPr>
      </w:pPr>
    </w:p>
    <w:tbl>
      <w:tblPr>
        <w:tblStyle w:val="TableGrid"/>
        <w:tblW w:w="0" w:type="auto"/>
        <w:tblLook w:val="04A0" w:firstRow="1" w:lastRow="0" w:firstColumn="1" w:lastColumn="0" w:noHBand="0" w:noVBand="1"/>
      </w:tblPr>
      <w:tblGrid>
        <w:gridCol w:w="3114"/>
        <w:gridCol w:w="5902"/>
      </w:tblGrid>
      <w:tr w:rsidR="00E54A44" w:rsidRPr="00165533" w14:paraId="057129CD" w14:textId="77777777" w:rsidTr="00711964">
        <w:tc>
          <w:tcPr>
            <w:tcW w:w="3114" w:type="dxa"/>
            <w:shd w:val="clear" w:color="auto" w:fill="1F3864" w:themeFill="accent1" w:themeFillShade="80"/>
          </w:tcPr>
          <w:p w14:paraId="37DD8169" w14:textId="77777777" w:rsidR="00045041" w:rsidRPr="00165533" w:rsidRDefault="00045041">
            <w:pPr>
              <w:rPr>
                <w:rFonts w:ascii="Arial" w:hAnsi="Arial" w:cs="Arial"/>
                <w:color w:val="FFFFFF" w:themeColor="background1"/>
                <w:sz w:val="28"/>
              </w:rPr>
            </w:pPr>
          </w:p>
          <w:p w14:paraId="2CEEF8B0" w14:textId="399F85D1" w:rsidR="00E54A44" w:rsidRPr="00165533" w:rsidRDefault="00E54A44">
            <w:pPr>
              <w:rPr>
                <w:rFonts w:ascii="Arial" w:hAnsi="Arial" w:cs="Arial"/>
                <w:color w:val="FFFFFF" w:themeColor="background1"/>
                <w:sz w:val="28"/>
              </w:rPr>
            </w:pPr>
            <w:r w:rsidRPr="00165533">
              <w:rPr>
                <w:rFonts w:ascii="Arial" w:hAnsi="Arial" w:cs="Arial"/>
                <w:color w:val="FFFFFF" w:themeColor="background1"/>
                <w:sz w:val="28"/>
              </w:rPr>
              <w:t>Outcome of Inspection</w:t>
            </w:r>
          </w:p>
        </w:tc>
        <w:tc>
          <w:tcPr>
            <w:tcW w:w="5902" w:type="dxa"/>
          </w:tcPr>
          <w:p w14:paraId="5721DBFC" w14:textId="77777777" w:rsidR="00045041" w:rsidRPr="00165533" w:rsidRDefault="00045041">
            <w:pPr>
              <w:rPr>
                <w:rFonts w:ascii="Arial" w:hAnsi="Arial" w:cs="Arial"/>
                <w:color w:val="1F3864" w:themeColor="accent1" w:themeShade="80"/>
                <w:sz w:val="28"/>
                <w:lang w:eastAsia="en-GB"/>
              </w:rPr>
            </w:pPr>
          </w:p>
          <w:p w14:paraId="4ECE2F97" w14:textId="67F778AA" w:rsidR="00BA0A18" w:rsidRPr="00165533" w:rsidRDefault="00F104C8">
            <w:pPr>
              <w:rPr>
                <w:rFonts w:ascii="Arial" w:hAnsi="Arial" w:cs="Arial"/>
                <w:color w:val="1F3864" w:themeColor="accent1" w:themeShade="80"/>
                <w:sz w:val="28"/>
                <w:lang w:eastAsia="en-GB"/>
              </w:rPr>
            </w:pPr>
            <w:r w:rsidRPr="00165533">
              <w:rPr>
                <w:rFonts w:ascii="Arial" w:hAnsi="Arial" w:cs="Arial"/>
                <w:color w:val="1F3864" w:themeColor="accent1" w:themeShade="80"/>
                <w:sz w:val="28"/>
                <w:lang w:eastAsia="en-GB"/>
              </w:rPr>
              <w:t xml:space="preserve">Recommended that the BDS continues to be sufficient for the graduating cohort to register as </w:t>
            </w:r>
            <w:r w:rsidR="001C1CB7" w:rsidRPr="00165533">
              <w:rPr>
                <w:rFonts w:ascii="Arial" w:hAnsi="Arial" w:cs="Arial"/>
                <w:color w:val="1F3864" w:themeColor="accent1" w:themeShade="80"/>
                <w:sz w:val="28"/>
                <w:lang w:eastAsia="en-GB"/>
              </w:rPr>
              <w:t>D</w:t>
            </w:r>
            <w:r w:rsidRPr="00165533">
              <w:rPr>
                <w:rFonts w:ascii="Arial" w:hAnsi="Arial" w:cs="Arial"/>
                <w:color w:val="1F3864" w:themeColor="accent1" w:themeShade="80"/>
                <w:sz w:val="28"/>
                <w:lang w:eastAsia="en-GB"/>
              </w:rPr>
              <w:t>entist</w:t>
            </w:r>
            <w:r w:rsidR="001C1CB7" w:rsidRPr="00165533">
              <w:rPr>
                <w:rFonts w:ascii="Arial" w:hAnsi="Arial" w:cs="Arial"/>
                <w:color w:val="1F3864" w:themeColor="accent1" w:themeShade="80"/>
                <w:sz w:val="28"/>
                <w:lang w:eastAsia="en-GB"/>
              </w:rPr>
              <w:t>s</w:t>
            </w:r>
            <w:r w:rsidRPr="00165533">
              <w:rPr>
                <w:rFonts w:ascii="Arial" w:hAnsi="Arial" w:cs="Arial"/>
                <w:color w:val="1F3864" w:themeColor="accent1" w:themeShade="80"/>
                <w:sz w:val="28"/>
                <w:lang w:eastAsia="en-GB"/>
              </w:rPr>
              <w:t>.</w:t>
            </w:r>
          </w:p>
          <w:p w14:paraId="66C74363" w14:textId="47BA74DB" w:rsidR="00045041" w:rsidRPr="00165533" w:rsidRDefault="00045041">
            <w:pPr>
              <w:rPr>
                <w:rFonts w:ascii="Arial" w:hAnsi="Arial" w:cs="Arial"/>
                <w:color w:val="1F3864" w:themeColor="accent1" w:themeShade="80"/>
                <w:sz w:val="28"/>
              </w:rPr>
            </w:pPr>
          </w:p>
        </w:tc>
      </w:tr>
    </w:tbl>
    <w:p w14:paraId="4EF56798" w14:textId="56D04F83" w:rsidR="00D672A1" w:rsidRPr="00165533" w:rsidRDefault="00D672A1">
      <w:pPr>
        <w:rPr>
          <w:rFonts w:ascii="Calibri" w:hAnsi="Calibri" w:cs="Calibri"/>
          <w:color w:val="1F3864" w:themeColor="accent1" w:themeShade="80"/>
          <w:sz w:val="28"/>
        </w:rPr>
      </w:pPr>
    </w:p>
    <w:p w14:paraId="108749C8" w14:textId="23584368" w:rsidR="00D672A1" w:rsidRPr="00165533" w:rsidRDefault="00D672A1">
      <w:pPr>
        <w:rPr>
          <w:rFonts w:ascii="Calibri" w:hAnsi="Calibri" w:cs="Calibri"/>
          <w:color w:val="1F3864" w:themeColor="accent1" w:themeShade="80"/>
          <w:sz w:val="28"/>
        </w:rPr>
      </w:pPr>
      <w:r w:rsidRPr="00165533">
        <w:rPr>
          <w:rFonts w:ascii="Calibri" w:hAnsi="Calibri" w:cs="Calibri"/>
          <w:color w:val="1F3864" w:themeColor="accent1" w:themeShade="80"/>
          <w:sz w:val="28"/>
        </w:rPr>
        <w:br w:type="page"/>
      </w:r>
    </w:p>
    <w:p w14:paraId="10105D78" w14:textId="24EB8B61" w:rsidR="00BD4BB3" w:rsidRPr="00165533" w:rsidRDefault="00F671FD" w:rsidP="00BD4BB3">
      <w:pPr>
        <w:jc w:val="center"/>
        <w:rPr>
          <w:rFonts w:ascii="Arial" w:hAnsi="Arial" w:cs="Arial"/>
          <w:b/>
          <w:color w:val="365F91"/>
          <w:sz w:val="28"/>
          <w:szCs w:val="28"/>
        </w:rPr>
      </w:pPr>
      <w:r w:rsidRPr="00165533">
        <w:rPr>
          <w:rFonts w:ascii="Arial" w:hAnsi="Arial" w:cs="Arial"/>
          <w:b/>
          <w:color w:val="365F91"/>
          <w:sz w:val="28"/>
          <w:szCs w:val="28"/>
        </w:rPr>
        <w:lastRenderedPageBreak/>
        <w:t>*</w:t>
      </w:r>
      <w:r w:rsidR="00BD4BB3" w:rsidRPr="00165533">
        <w:rPr>
          <w:rFonts w:ascii="Arial" w:hAnsi="Arial" w:cs="Arial"/>
          <w:b/>
          <w:color w:val="365F91"/>
          <w:sz w:val="28"/>
          <w:szCs w:val="28"/>
        </w:rPr>
        <w:t xml:space="preserve">Full details of the inspection process can be found in </w:t>
      </w:r>
      <w:r w:rsidR="000A6A8E" w:rsidRPr="00165533">
        <w:rPr>
          <w:rFonts w:ascii="Arial" w:hAnsi="Arial" w:cs="Arial"/>
          <w:b/>
          <w:color w:val="365F91"/>
          <w:sz w:val="28"/>
          <w:szCs w:val="28"/>
        </w:rPr>
        <w:t>A</w:t>
      </w:r>
      <w:r w:rsidR="00BD4BB3" w:rsidRPr="00165533">
        <w:rPr>
          <w:rFonts w:ascii="Arial" w:hAnsi="Arial" w:cs="Arial"/>
          <w:b/>
          <w:color w:val="365F91"/>
          <w:sz w:val="28"/>
          <w:szCs w:val="28"/>
        </w:rPr>
        <w:t>nnex</w:t>
      </w:r>
      <w:r w:rsidR="000A6A8E" w:rsidRPr="00165533">
        <w:rPr>
          <w:rFonts w:ascii="Arial" w:hAnsi="Arial" w:cs="Arial"/>
          <w:b/>
          <w:color w:val="365F91"/>
          <w:sz w:val="28"/>
          <w:szCs w:val="28"/>
        </w:rPr>
        <w:t xml:space="preserve"> 1</w:t>
      </w:r>
      <w:r w:rsidRPr="00165533">
        <w:rPr>
          <w:rFonts w:ascii="Arial" w:hAnsi="Arial" w:cs="Arial"/>
          <w:b/>
          <w:color w:val="365F91"/>
          <w:sz w:val="28"/>
          <w:szCs w:val="28"/>
        </w:rPr>
        <w:t>*</w:t>
      </w:r>
    </w:p>
    <w:p w14:paraId="18A65495" w14:textId="77777777" w:rsidR="000A6A8E" w:rsidRPr="00165533" w:rsidRDefault="000A6A8E" w:rsidP="00204D49">
      <w:pPr>
        <w:spacing w:after="0"/>
        <w:rPr>
          <w:rFonts w:ascii="Arial" w:hAnsi="Arial" w:cs="Arial"/>
          <w:b/>
          <w:color w:val="244061"/>
          <w:sz w:val="16"/>
          <w:szCs w:val="16"/>
          <w:lang w:eastAsia="en-GB"/>
        </w:rPr>
      </w:pPr>
    </w:p>
    <w:p w14:paraId="0C1EAE46" w14:textId="7B4EC9F2" w:rsidR="00BD4BB3" w:rsidRPr="00165533" w:rsidRDefault="00BD4BB3" w:rsidP="00204D49">
      <w:pPr>
        <w:spacing w:after="0"/>
        <w:rPr>
          <w:rFonts w:ascii="Arial" w:hAnsi="Arial" w:cs="Arial"/>
          <w:b/>
          <w:color w:val="244061"/>
          <w:sz w:val="28"/>
          <w:szCs w:val="28"/>
          <w:lang w:eastAsia="en-GB"/>
        </w:rPr>
      </w:pPr>
      <w:r w:rsidRPr="00165533">
        <w:rPr>
          <w:rFonts w:ascii="Arial" w:hAnsi="Arial" w:cs="Arial"/>
          <w:b/>
          <w:color w:val="244061"/>
          <w:sz w:val="28"/>
          <w:szCs w:val="28"/>
          <w:lang w:eastAsia="en-GB"/>
        </w:rPr>
        <w:t>Inspection summary</w:t>
      </w:r>
    </w:p>
    <w:p w14:paraId="51F1BC46" w14:textId="77777777" w:rsidR="00204D49" w:rsidRPr="00165533" w:rsidRDefault="00204D49" w:rsidP="00204D49">
      <w:pPr>
        <w:spacing w:after="0"/>
        <w:rPr>
          <w:rFonts w:ascii="Arial" w:hAnsi="Arial" w:cs="Arial"/>
          <w:b/>
          <w:color w:val="244061"/>
          <w:sz w:val="28"/>
          <w:szCs w:val="28"/>
          <w:lang w:eastAsia="en-GB"/>
        </w:rPr>
      </w:pPr>
    </w:p>
    <w:tbl>
      <w:tblPr>
        <w:tblStyle w:val="TableGrid"/>
        <w:tblW w:w="9478" w:type="dxa"/>
        <w:tblLook w:val="04A0" w:firstRow="1" w:lastRow="0" w:firstColumn="1" w:lastColumn="0" w:noHBand="0" w:noVBand="1"/>
      </w:tblPr>
      <w:tblGrid>
        <w:gridCol w:w="4106"/>
        <w:gridCol w:w="5372"/>
      </w:tblGrid>
      <w:tr w:rsidR="008E4A71" w:rsidRPr="00165533" w14:paraId="73E47D7B" w14:textId="77777777">
        <w:tc>
          <w:tcPr>
            <w:tcW w:w="4106" w:type="dxa"/>
          </w:tcPr>
          <w:p w14:paraId="6232DDC4" w14:textId="17F35486" w:rsidR="008E4A71" w:rsidRPr="00165533" w:rsidRDefault="008E4A71">
            <w:pPr>
              <w:rPr>
                <w:rFonts w:ascii="Arial" w:eastAsia="Times New Roman" w:hAnsi="Arial" w:cs="Arial"/>
                <w:b/>
                <w:smallCaps/>
                <w:sz w:val="24"/>
                <w:szCs w:val="24"/>
                <w:lang w:eastAsia="en-GB"/>
              </w:rPr>
            </w:pPr>
            <w:r w:rsidRPr="00165533">
              <w:rPr>
                <w:rFonts w:ascii="Arial" w:hAnsi="Arial" w:cs="Arial"/>
                <w:b/>
                <w:sz w:val="24"/>
                <w:szCs w:val="24"/>
              </w:rPr>
              <w:t>Remit and purpose</w:t>
            </w:r>
            <w:r w:rsidR="00204D49" w:rsidRPr="00165533">
              <w:rPr>
                <w:rFonts w:ascii="Arial" w:hAnsi="Arial" w:cs="Arial"/>
                <w:b/>
                <w:sz w:val="24"/>
                <w:szCs w:val="24"/>
              </w:rPr>
              <w:t xml:space="preserve"> of inspection</w:t>
            </w:r>
            <w:r w:rsidRPr="00165533">
              <w:rPr>
                <w:rFonts w:ascii="Arial" w:eastAsia="Times New Roman" w:hAnsi="Arial" w:cs="Arial"/>
                <w:b/>
                <w:smallCaps/>
                <w:sz w:val="24"/>
                <w:szCs w:val="24"/>
                <w:lang w:eastAsia="en-GB"/>
              </w:rPr>
              <w:t>:</w:t>
            </w:r>
          </w:p>
          <w:p w14:paraId="54728ABC" w14:textId="77777777" w:rsidR="008E4A71" w:rsidRPr="00165533" w:rsidRDefault="008E4A71">
            <w:pPr>
              <w:rPr>
                <w:rFonts w:ascii="Arial" w:eastAsia="Calibri" w:hAnsi="Arial" w:cs="Arial"/>
                <w:b/>
                <w:color w:val="2F5496" w:themeColor="accent1" w:themeShade="BF"/>
                <w:sz w:val="28"/>
                <w:szCs w:val="28"/>
              </w:rPr>
            </w:pPr>
          </w:p>
        </w:tc>
        <w:tc>
          <w:tcPr>
            <w:tcW w:w="5372" w:type="dxa"/>
          </w:tcPr>
          <w:p w14:paraId="0149AA0A" w14:textId="77777777" w:rsidR="002A111C" w:rsidRPr="00A87D96" w:rsidRDefault="008E4A71">
            <w:pPr>
              <w:rPr>
                <w:rFonts w:ascii="Arial" w:hAnsi="Arial" w:cs="Arial"/>
                <w:bCs/>
                <w:lang w:eastAsia="en-GB"/>
              </w:rPr>
            </w:pPr>
            <w:r w:rsidRPr="00A87D96">
              <w:rPr>
                <w:rFonts w:ascii="Arial" w:hAnsi="Arial" w:cs="Arial"/>
                <w:bCs/>
                <w:lang w:eastAsia="en-GB"/>
              </w:rPr>
              <w:t xml:space="preserve">Inspection referencing the </w:t>
            </w:r>
            <w:r w:rsidRPr="00A87D96">
              <w:rPr>
                <w:rFonts w:ascii="Arial" w:hAnsi="Arial" w:cs="Arial"/>
                <w:bCs/>
                <w:i/>
                <w:lang w:eastAsia="en-GB"/>
              </w:rPr>
              <w:t>Standards for Education</w:t>
            </w:r>
            <w:r w:rsidRPr="00A87D96">
              <w:rPr>
                <w:rFonts w:ascii="Arial" w:hAnsi="Arial" w:cs="Arial"/>
                <w:bCs/>
                <w:lang w:eastAsia="en-GB"/>
              </w:rPr>
              <w:t xml:space="preserve"> to determine approval</w:t>
            </w:r>
            <w:r w:rsidR="000A6A8E" w:rsidRPr="00A87D96">
              <w:rPr>
                <w:rFonts w:ascii="Arial" w:hAnsi="Arial" w:cs="Arial"/>
                <w:bCs/>
                <w:lang w:eastAsia="en-GB"/>
              </w:rPr>
              <w:t xml:space="preserve"> </w:t>
            </w:r>
            <w:r w:rsidRPr="00A87D96">
              <w:rPr>
                <w:rFonts w:ascii="Arial" w:hAnsi="Arial" w:cs="Arial"/>
                <w:bCs/>
                <w:lang w:eastAsia="en-GB"/>
              </w:rPr>
              <w:t>of the award for the purpose of registration with the GDC as a</w:t>
            </w:r>
            <w:r w:rsidR="00370E2E" w:rsidRPr="00A87D96">
              <w:rPr>
                <w:rFonts w:ascii="Arial" w:hAnsi="Arial" w:cs="Arial"/>
                <w:bCs/>
                <w:lang w:eastAsia="en-GB"/>
              </w:rPr>
              <w:t xml:space="preserve"> Dentist.</w:t>
            </w:r>
          </w:p>
          <w:p w14:paraId="23A7B557" w14:textId="49E5BBAA" w:rsidR="0004131D" w:rsidRPr="00A87D96" w:rsidRDefault="0004131D">
            <w:pPr>
              <w:rPr>
                <w:rFonts w:ascii="Arial" w:hAnsi="Arial" w:cs="Arial"/>
                <w:bCs/>
                <w:lang w:eastAsia="en-GB"/>
              </w:rPr>
            </w:pPr>
          </w:p>
        </w:tc>
      </w:tr>
      <w:tr w:rsidR="008E4A71" w:rsidRPr="00165533" w14:paraId="3F28A39A" w14:textId="77777777">
        <w:tc>
          <w:tcPr>
            <w:tcW w:w="4106" w:type="dxa"/>
          </w:tcPr>
          <w:p w14:paraId="1FAEBE56" w14:textId="77777777" w:rsidR="008E4A71" w:rsidRPr="00165533" w:rsidRDefault="008E4A71">
            <w:pPr>
              <w:rPr>
                <w:rFonts w:ascii="Arial" w:eastAsia="Times New Roman" w:hAnsi="Arial" w:cs="Arial"/>
                <w:b/>
                <w:smallCaps/>
                <w:sz w:val="24"/>
                <w:szCs w:val="24"/>
                <w:lang w:eastAsia="en-GB"/>
              </w:rPr>
            </w:pPr>
            <w:r w:rsidRPr="00165533">
              <w:rPr>
                <w:rFonts w:ascii="Arial" w:hAnsi="Arial" w:cs="Arial"/>
                <w:b/>
                <w:sz w:val="24"/>
                <w:szCs w:val="24"/>
              </w:rPr>
              <w:t>Learning Outcomes</w:t>
            </w:r>
            <w:r w:rsidRPr="00165533">
              <w:rPr>
                <w:rFonts w:ascii="Arial" w:eastAsia="Times New Roman" w:hAnsi="Arial" w:cs="Arial"/>
                <w:b/>
                <w:smallCaps/>
                <w:sz w:val="24"/>
                <w:szCs w:val="24"/>
                <w:lang w:eastAsia="en-GB"/>
              </w:rPr>
              <w:t>:</w:t>
            </w:r>
          </w:p>
          <w:p w14:paraId="0DC8BD64" w14:textId="77777777" w:rsidR="008E4A71" w:rsidRPr="00165533" w:rsidRDefault="008E4A71">
            <w:pPr>
              <w:rPr>
                <w:rFonts w:ascii="Arial" w:eastAsia="Times New Roman" w:hAnsi="Arial" w:cs="Arial"/>
                <w:b/>
                <w:smallCaps/>
                <w:sz w:val="24"/>
                <w:szCs w:val="24"/>
                <w:lang w:eastAsia="en-GB"/>
              </w:rPr>
            </w:pPr>
          </w:p>
        </w:tc>
        <w:tc>
          <w:tcPr>
            <w:tcW w:w="5372" w:type="dxa"/>
          </w:tcPr>
          <w:p w14:paraId="193FC9AD" w14:textId="56EDC319" w:rsidR="008E4A71" w:rsidRPr="00A87D96" w:rsidRDefault="008E4A71" w:rsidP="009642CA">
            <w:pPr>
              <w:rPr>
                <w:rFonts w:ascii="Arial" w:hAnsi="Arial" w:cs="Arial"/>
                <w:bCs/>
                <w:lang w:eastAsia="en-GB"/>
              </w:rPr>
            </w:pPr>
            <w:r w:rsidRPr="00A87D96">
              <w:rPr>
                <w:rFonts w:ascii="Arial" w:hAnsi="Arial" w:cs="Arial"/>
                <w:bCs/>
                <w:iCs/>
                <w:lang w:eastAsia="en-GB"/>
              </w:rPr>
              <w:t xml:space="preserve">Preparing for Practice </w:t>
            </w:r>
            <w:r w:rsidR="00B13EF2" w:rsidRPr="00A87D96">
              <w:rPr>
                <w:rFonts w:ascii="Arial" w:hAnsi="Arial" w:cs="Arial"/>
                <w:bCs/>
                <w:iCs/>
                <w:lang w:eastAsia="en-GB"/>
              </w:rPr>
              <w:t>(Dentist)</w:t>
            </w:r>
          </w:p>
        </w:tc>
      </w:tr>
      <w:tr w:rsidR="008E4A71" w:rsidRPr="00165533" w14:paraId="0E74530D" w14:textId="77777777">
        <w:tc>
          <w:tcPr>
            <w:tcW w:w="4106" w:type="dxa"/>
          </w:tcPr>
          <w:p w14:paraId="151915CD" w14:textId="7C27505F" w:rsidR="008E4A71" w:rsidRPr="00165533" w:rsidRDefault="008E4A71">
            <w:pPr>
              <w:rPr>
                <w:rFonts w:ascii="Arial" w:eastAsia="Times New Roman" w:hAnsi="Arial" w:cs="Arial"/>
                <w:b/>
                <w:smallCaps/>
                <w:sz w:val="24"/>
                <w:szCs w:val="24"/>
                <w:lang w:eastAsia="en-GB"/>
              </w:rPr>
            </w:pPr>
            <w:r w:rsidRPr="00165533">
              <w:rPr>
                <w:rFonts w:ascii="Arial" w:hAnsi="Arial" w:cs="Arial"/>
                <w:b/>
                <w:sz w:val="24"/>
                <w:szCs w:val="24"/>
              </w:rPr>
              <w:t>Programme inspection date</w:t>
            </w:r>
            <w:r w:rsidR="00D24AC9" w:rsidRPr="00165533">
              <w:rPr>
                <w:rFonts w:ascii="Arial" w:hAnsi="Arial" w:cs="Arial"/>
                <w:b/>
                <w:sz w:val="24"/>
                <w:szCs w:val="24"/>
              </w:rPr>
              <w:t>s:</w:t>
            </w:r>
            <w:r w:rsidRPr="00165533">
              <w:rPr>
                <w:rFonts w:ascii="Arial" w:eastAsia="Times New Roman" w:hAnsi="Arial" w:cs="Arial"/>
                <w:b/>
                <w:smallCaps/>
                <w:sz w:val="24"/>
                <w:szCs w:val="24"/>
                <w:lang w:eastAsia="en-GB"/>
              </w:rPr>
              <w:t xml:space="preserve"> </w:t>
            </w:r>
          </w:p>
          <w:p w14:paraId="7E661E8E" w14:textId="77777777" w:rsidR="008E4A71" w:rsidRPr="00165533" w:rsidRDefault="008E4A71">
            <w:pPr>
              <w:rPr>
                <w:rFonts w:ascii="Arial" w:eastAsia="Times New Roman" w:hAnsi="Arial" w:cs="Arial"/>
                <w:b/>
                <w:smallCaps/>
                <w:sz w:val="24"/>
                <w:szCs w:val="24"/>
                <w:lang w:eastAsia="en-GB"/>
              </w:rPr>
            </w:pPr>
          </w:p>
        </w:tc>
        <w:tc>
          <w:tcPr>
            <w:tcW w:w="5372" w:type="dxa"/>
          </w:tcPr>
          <w:p w14:paraId="554E0117" w14:textId="77777777" w:rsidR="008E4A71" w:rsidRPr="00A87D96" w:rsidRDefault="004871E3">
            <w:pPr>
              <w:rPr>
                <w:rFonts w:ascii="Arial" w:hAnsi="Arial" w:cs="Arial"/>
                <w:bCs/>
                <w:lang w:eastAsia="en-GB"/>
              </w:rPr>
            </w:pPr>
            <w:r w:rsidRPr="00A87D96">
              <w:rPr>
                <w:rFonts w:ascii="Arial" w:hAnsi="Arial" w:cs="Arial"/>
                <w:bCs/>
                <w:lang w:eastAsia="en-GB"/>
              </w:rPr>
              <w:t>Tuesday 27 January – Thursday 30 January 2025</w:t>
            </w:r>
          </w:p>
          <w:p w14:paraId="2EAF198F" w14:textId="614481B2" w:rsidR="002A111C" w:rsidRPr="00A87D96" w:rsidRDefault="002A111C">
            <w:pPr>
              <w:rPr>
                <w:rFonts w:ascii="Arial" w:hAnsi="Arial" w:cs="Arial"/>
                <w:bCs/>
                <w:lang w:eastAsia="en-GB"/>
              </w:rPr>
            </w:pPr>
          </w:p>
        </w:tc>
      </w:tr>
      <w:tr w:rsidR="008E4A71" w:rsidRPr="00165533" w14:paraId="4F3BF7A4" w14:textId="77777777">
        <w:tc>
          <w:tcPr>
            <w:tcW w:w="4106" w:type="dxa"/>
          </w:tcPr>
          <w:p w14:paraId="1FA2D3DF" w14:textId="06145F83" w:rsidR="008E4A71" w:rsidRPr="00165533" w:rsidRDefault="008E4A71">
            <w:pPr>
              <w:rPr>
                <w:rFonts w:ascii="Arial" w:eastAsia="Times New Roman" w:hAnsi="Arial" w:cs="Arial"/>
                <w:b/>
                <w:smallCaps/>
                <w:sz w:val="24"/>
                <w:szCs w:val="24"/>
                <w:lang w:eastAsia="en-GB"/>
              </w:rPr>
            </w:pPr>
            <w:r w:rsidRPr="00165533">
              <w:rPr>
                <w:rFonts w:ascii="Arial" w:hAnsi="Arial" w:cs="Arial"/>
                <w:b/>
                <w:sz w:val="24"/>
                <w:szCs w:val="24"/>
              </w:rPr>
              <w:t>Examination inspection date</w:t>
            </w:r>
            <w:r w:rsidR="00387AAF" w:rsidRPr="00165533">
              <w:rPr>
                <w:rFonts w:ascii="Arial" w:hAnsi="Arial" w:cs="Arial"/>
                <w:b/>
                <w:sz w:val="24"/>
                <w:szCs w:val="24"/>
              </w:rPr>
              <w:t>:</w:t>
            </w:r>
          </w:p>
          <w:p w14:paraId="44A6C3B0" w14:textId="3CA35FBB" w:rsidR="008E4A71" w:rsidRPr="00165533" w:rsidRDefault="008E4A71">
            <w:pPr>
              <w:rPr>
                <w:rFonts w:ascii="Arial" w:eastAsia="Times New Roman" w:hAnsi="Arial" w:cs="Arial"/>
                <w:b/>
                <w:smallCaps/>
                <w:sz w:val="24"/>
                <w:szCs w:val="24"/>
                <w:lang w:eastAsia="en-GB"/>
              </w:rPr>
            </w:pPr>
          </w:p>
        </w:tc>
        <w:tc>
          <w:tcPr>
            <w:tcW w:w="5372" w:type="dxa"/>
          </w:tcPr>
          <w:p w14:paraId="5253F172" w14:textId="2E1249EF" w:rsidR="008E4A71" w:rsidRPr="00A87D96" w:rsidRDefault="00D1627D">
            <w:pPr>
              <w:rPr>
                <w:rFonts w:ascii="Arial" w:hAnsi="Arial" w:cs="Arial"/>
                <w:bCs/>
                <w:lang w:eastAsia="en-GB"/>
              </w:rPr>
            </w:pPr>
            <w:r w:rsidRPr="00A87D96">
              <w:rPr>
                <w:rFonts w:ascii="Arial" w:hAnsi="Arial" w:cs="Arial"/>
                <w:bCs/>
                <w:lang w:eastAsia="en-GB"/>
              </w:rPr>
              <w:t>Wed</w:t>
            </w:r>
            <w:r w:rsidR="002A111C" w:rsidRPr="00A87D96">
              <w:rPr>
                <w:rFonts w:ascii="Arial" w:hAnsi="Arial" w:cs="Arial"/>
                <w:bCs/>
                <w:lang w:eastAsia="en-GB"/>
              </w:rPr>
              <w:t xml:space="preserve">nesday </w:t>
            </w:r>
            <w:r w:rsidR="0024028A" w:rsidRPr="00A87D96">
              <w:rPr>
                <w:rFonts w:ascii="Arial" w:hAnsi="Arial" w:cs="Arial"/>
                <w:bCs/>
                <w:lang w:eastAsia="en-GB"/>
              </w:rPr>
              <w:t>14 May 2025 – BDS</w:t>
            </w:r>
          </w:p>
          <w:p w14:paraId="4CAE212F" w14:textId="13BFBD29" w:rsidR="0024028A" w:rsidRPr="00A87D96" w:rsidRDefault="0024028A" w:rsidP="00711800">
            <w:pPr>
              <w:rPr>
                <w:rFonts w:ascii="Arial" w:hAnsi="Arial" w:cs="Arial"/>
                <w:bCs/>
                <w:lang w:eastAsia="en-GB"/>
              </w:rPr>
            </w:pPr>
          </w:p>
        </w:tc>
      </w:tr>
      <w:tr w:rsidR="008E4A71" w:rsidRPr="00165533" w14:paraId="4B52CF4D" w14:textId="77777777">
        <w:tc>
          <w:tcPr>
            <w:tcW w:w="4106" w:type="dxa"/>
          </w:tcPr>
          <w:p w14:paraId="4A983A2D" w14:textId="7DF7B507" w:rsidR="008E4A71" w:rsidRPr="00165533" w:rsidRDefault="008E4A71">
            <w:pPr>
              <w:pStyle w:val="Heading2"/>
              <w:ind w:right="-424"/>
              <w:rPr>
                <w:rFonts w:cs="Arial"/>
                <w:b/>
                <w:smallCaps/>
                <w:sz w:val="24"/>
                <w:szCs w:val="24"/>
                <w:lang w:val="en-GB"/>
              </w:rPr>
            </w:pPr>
            <w:r w:rsidRPr="00165533">
              <w:rPr>
                <w:rFonts w:cs="Arial"/>
                <w:b/>
                <w:sz w:val="24"/>
                <w:szCs w:val="24"/>
                <w:lang w:val="en-GB"/>
              </w:rPr>
              <w:t xml:space="preserve">Inspection </w:t>
            </w:r>
            <w:r w:rsidR="007743A4" w:rsidRPr="00165533">
              <w:rPr>
                <w:rFonts w:cs="Arial"/>
                <w:b/>
                <w:sz w:val="24"/>
                <w:szCs w:val="24"/>
                <w:lang w:val="en-GB"/>
              </w:rPr>
              <w:t>team</w:t>
            </w:r>
            <w:r w:rsidRPr="00165533">
              <w:rPr>
                <w:rFonts w:cs="Arial"/>
                <w:b/>
                <w:smallCaps/>
                <w:sz w:val="24"/>
                <w:szCs w:val="24"/>
                <w:lang w:val="en-GB"/>
              </w:rPr>
              <w:t>:</w:t>
            </w:r>
          </w:p>
          <w:p w14:paraId="4CFCA3E4" w14:textId="77777777" w:rsidR="008E4A71" w:rsidRPr="00165533" w:rsidRDefault="008E4A71">
            <w:pPr>
              <w:jc w:val="center"/>
              <w:rPr>
                <w:rFonts w:ascii="Arial" w:eastAsia="Times New Roman" w:hAnsi="Arial" w:cs="Arial"/>
                <w:b/>
                <w:smallCaps/>
                <w:sz w:val="24"/>
                <w:szCs w:val="24"/>
                <w:lang w:eastAsia="en-GB"/>
              </w:rPr>
            </w:pPr>
          </w:p>
        </w:tc>
        <w:tc>
          <w:tcPr>
            <w:tcW w:w="5372" w:type="dxa"/>
          </w:tcPr>
          <w:p w14:paraId="13284FFA" w14:textId="058F950B" w:rsidR="008E4A71" w:rsidRPr="00A87D96" w:rsidRDefault="00AB7830">
            <w:pPr>
              <w:rPr>
                <w:rFonts w:ascii="Arial" w:hAnsi="Arial" w:cs="Arial"/>
                <w:bCs/>
                <w:lang w:eastAsia="en-GB"/>
              </w:rPr>
            </w:pPr>
            <w:r w:rsidRPr="00A87D96">
              <w:rPr>
                <w:rFonts w:ascii="Arial" w:hAnsi="Arial" w:cs="Arial"/>
                <w:b/>
                <w:lang w:eastAsia="en-GB"/>
              </w:rPr>
              <w:t>Helen Poole</w:t>
            </w:r>
            <w:r w:rsidR="008E4A71" w:rsidRPr="00A87D96">
              <w:rPr>
                <w:rFonts w:ascii="Arial" w:hAnsi="Arial" w:cs="Arial"/>
                <w:b/>
                <w:lang w:eastAsia="en-GB"/>
              </w:rPr>
              <w:t xml:space="preserve"> </w:t>
            </w:r>
            <w:r w:rsidR="008E4A71" w:rsidRPr="00A87D96">
              <w:rPr>
                <w:rFonts w:ascii="Arial" w:hAnsi="Arial" w:cs="Arial"/>
                <w:bCs/>
                <w:lang w:eastAsia="en-GB"/>
              </w:rPr>
              <w:t xml:space="preserve">(Chair and </w:t>
            </w:r>
            <w:r w:rsidR="00AC1360" w:rsidRPr="00A87D96">
              <w:rPr>
                <w:rFonts w:ascii="Arial" w:hAnsi="Arial" w:cs="Arial"/>
                <w:bCs/>
                <w:lang w:eastAsia="en-GB"/>
              </w:rPr>
              <w:t>n</w:t>
            </w:r>
            <w:r w:rsidR="008E4A71" w:rsidRPr="00A87D96">
              <w:rPr>
                <w:rFonts w:ascii="Arial" w:hAnsi="Arial" w:cs="Arial"/>
                <w:bCs/>
                <w:lang w:eastAsia="en-GB"/>
              </w:rPr>
              <w:t xml:space="preserve">on-registrant </w:t>
            </w:r>
            <w:r w:rsidR="00AC1360" w:rsidRPr="00A87D96">
              <w:rPr>
                <w:rFonts w:ascii="Arial" w:hAnsi="Arial" w:cs="Arial"/>
                <w:bCs/>
                <w:lang w:eastAsia="en-GB"/>
              </w:rPr>
              <w:t>m</w:t>
            </w:r>
            <w:r w:rsidR="008E4A71" w:rsidRPr="00A87D96">
              <w:rPr>
                <w:rFonts w:ascii="Arial" w:hAnsi="Arial" w:cs="Arial"/>
                <w:bCs/>
                <w:lang w:eastAsia="en-GB"/>
              </w:rPr>
              <w:t>ember</w:t>
            </w:r>
            <w:r w:rsidRPr="00A87D96">
              <w:rPr>
                <w:rFonts w:ascii="Arial" w:hAnsi="Arial" w:cs="Arial"/>
                <w:bCs/>
                <w:lang w:eastAsia="en-GB"/>
              </w:rPr>
              <w:t>)</w:t>
            </w:r>
          </w:p>
          <w:p w14:paraId="225DDAC2" w14:textId="131D5F6D" w:rsidR="00F07F0E" w:rsidRPr="00A87D96" w:rsidRDefault="00F07F0E">
            <w:pPr>
              <w:rPr>
                <w:rFonts w:ascii="Arial" w:hAnsi="Arial" w:cs="Arial"/>
                <w:b/>
                <w:lang w:eastAsia="en-GB"/>
              </w:rPr>
            </w:pPr>
            <w:r w:rsidRPr="00A87D96">
              <w:rPr>
                <w:rFonts w:ascii="Arial" w:hAnsi="Arial" w:cs="Arial"/>
                <w:b/>
                <w:lang w:eastAsia="en-GB"/>
              </w:rPr>
              <w:t xml:space="preserve">Andrew Buddle </w:t>
            </w:r>
            <w:r w:rsidRPr="00A87D96">
              <w:rPr>
                <w:rFonts w:ascii="Arial" w:hAnsi="Arial" w:cs="Arial"/>
                <w:bCs/>
                <w:lang w:eastAsia="en-GB"/>
              </w:rPr>
              <w:t>(Dentist)</w:t>
            </w:r>
          </w:p>
          <w:p w14:paraId="0C90DDC0" w14:textId="60C4966E" w:rsidR="008E4A71" w:rsidRPr="00A87D96" w:rsidRDefault="00F07F0E">
            <w:pPr>
              <w:rPr>
                <w:rFonts w:ascii="Arial" w:hAnsi="Arial" w:cs="Arial"/>
                <w:b/>
                <w:lang w:eastAsia="en-GB"/>
              </w:rPr>
            </w:pPr>
            <w:r w:rsidRPr="00A87D96">
              <w:rPr>
                <w:rFonts w:ascii="Arial" w:hAnsi="Arial" w:cs="Arial"/>
                <w:b/>
                <w:lang w:eastAsia="en-GB"/>
              </w:rPr>
              <w:t xml:space="preserve">Benjamin Tighe </w:t>
            </w:r>
            <w:r w:rsidRPr="00A87D96">
              <w:rPr>
                <w:rFonts w:ascii="Arial" w:hAnsi="Arial" w:cs="Arial"/>
                <w:bCs/>
                <w:lang w:eastAsia="en-GB"/>
              </w:rPr>
              <w:t>(</w:t>
            </w:r>
            <w:r w:rsidR="009E5AD9" w:rsidRPr="00A87D96">
              <w:rPr>
                <w:rFonts w:ascii="Arial" w:hAnsi="Arial" w:cs="Arial"/>
                <w:bCs/>
                <w:lang w:eastAsia="en-GB"/>
              </w:rPr>
              <w:t>Dental</w:t>
            </w:r>
            <w:r w:rsidRPr="00A87D96">
              <w:rPr>
                <w:rFonts w:ascii="Arial" w:hAnsi="Arial" w:cs="Arial"/>
                <w:bCs/>
                <w:lang w:eastAsia="en-GB"/>
              </w:rPr>
              <w:t xml:space="preserve"> Therapist)</w:t>
            </w:r>
          </w:p>
          <w:p w14:paraId="58EA86A1" w14:textId="5D437B6C" w:rsidR="00F07F0E" w:rsidRPr="00A87D96" w:rsidRDefault="00F07F0E">
            <w:pPr>
              <w:rPr>
                <w:rFonts w:ascii="Arial" w:hAnsi="Arial" w:cs="Arial"/>
                <w:b/>
                <w:lang w:eastAsia="en-GB"/>
              </w:rPr>
            </w:pPr>
            <w:r w:rsidRPr="00A87D96">
              <w:rPr>
                <w:rFonts w:ascii="Arial" w:hAnsi="Arial" w:cs="Arial"/>
                <w:b/>
                <w:lang w:eastAsia="en-GB"/>
              </w:rPr>
              <w:t xml:space="preserve">Alison Brown </w:t>
            </w:r>
            <w:r w:rsidRPr="00A87D96">
              <w:rPr>
                <w:rFonts w:ascii="Arial" w:hAnsi="Arial" w:cs="Arial"/>
                <w:bCs/>
                <w:lang w:eastAsia="en-GB"/>
              </w:rPr>
              <w:t>(</w:t>
            </w:r>
            <w:r w:rsidR="009E5AD9" w:rsidRPr="00A87D96">
              <w:rPr>
                <w:rFonts w:ascii="Arial" w:hAnsi="Arial" w:cs="Arial"/>
                <w:bCs/>
                <w:lang w:eastAsia="en-GB"/>
              </w:rPr>
              <w:t xml:space="preserve">Dental </w:t>
            </w:r>
            <w:r w:rsidR="003F1032" w:rsidRPr="00A87D96">
              <w:rPr>
                <w:rFonts w:ascii="Arial" w:hAnsi="Arial" w:cs="Arial"/>
                <w:bCs/>
                <w:lang w:eastAsia="en-GB"/>
              </w:rPr>
              <w:t>Hygienist)</w:t>
            </w:r>
          </w:p>
          <w:p w14:paraId="094A288F" w14:textId="2713DB38" w:rsidR="00F314DB" w:rsidRPr="00A87D96" w:rsidRDefault="003F1032">
            <w:pPr>
              <w:rPr>
                <w:rFonts w:ascii="Arial" w:hAnsi="Arial" w:cs="Arial"/>
                <w:bCs/>
                <w:lang w:eastAsia="en-GB"/>
              </w:rPr>
            </w:pPr>
            <w:r w:rsidRPr="00A87D96">
              <w:rPr>
                <w:rFonts w:ascii="Arial" w:hAnsi="Arial" w:cs="Arial"/>
                <w:b/>
                <w:lang w:eastAsia="en-GB"/>
              </w:rPr>
              <w:t>Toni Wood</w:t>
            </w:r>
            <w:r w:rsidR="00F314DB" w:rsidRPr="00A87D96">
              <w:rPr>
                <w:rFonts w:ascii="Arial" w:hAnsi="Arial" w:cs="Arial"/>
                <w:b/>
                <w:lang w:eastAsia="en-GB"/>
              </w:rPr>
              <w:t xml:space="preserve"> </w:t>
            </w:r>
            <w:r w:rsidRPr="00A87D96">
              <w:rPr>
                <w:rFonts w:ascii="Arial" w:hAnsi="Arial" w:cs="Arial"/>
                <w:bCs/>
                <w:lang w:eastAsia="en-GB"/>
              </w:rPr>
              <w:t>(Education &amp; Quality Assurance Officer)</w:t>
            </w:r>
          </w:p>
          <w:p w14:paraId="45425EFF" w14:textId="77777777" w:rsidR="00FB17E6" w:rsidRPr="00A87D96" w:rsidRDefault="003F1032">
            <w:pPr>
              <w:rPr>
                <w:rFonts w:ascii="Arial" w:hAnsi="Arial" w:cs="Arial"/>
                <w:bCs/>
                <w:lang w:eastAsia="en-GB"/>
              </w:rPr>
            </w:pPr>
            <w:r w:rsidRPr="00A87D96">
              <w:rPr>
                <w:rFonts w:ascii="Arial" w:hAnsi="Arial" w:cs="Arial"/>
                <w:b/>
                <w:lang w:eastAsia="en-GB"/>
              </w:rPr>
              <w:t xml:space="preserve">Amy Mullins-Downes </w:t>
            </w:r>
            <w:r w:rsidRPr="00A87D96">
              <w:rPr>
                <w:rFonts w:ascii="Arial" w:hAnsi="Arial" w:cs="Arial"/>
                <w:bCs/>
                <w:lang w:eastAsia="en-GB"/>
              </w:rPr>
              <w:t>(</w:t>
            </w:r>
            <w:r w:rsidR="00A9614F" w:rsidRPr="00A87D96">
              <w:rPr>
                <w:rFonts w:ascii="Arial" w:hAnsi="Arial" w:cs="Arial"/>
                <w:bCs/>
                <w:lang w:eastAsia="en-GB"/>
              </w:rPr>
              <w:t>Operations and Development Quality Assurance Manager)</w:t>
            </w:r>
          </w:p>
          <w:p w14:paraId="544DE4E4" w14:textId="007507D2" w:rsidR="0004131D" w:rsidRPr="00A87D96" w:rsidRDefault="0004131D">
            <w:pPr>
              <w:rPr>
                <w:rFonts w:ascii="Arial" w:hAnsi="Arial" w:cs="Arial"/>
                <w:bCs/>
                <w:lang w:eastAsia="en-GB"/>
              </w:rPr>
            </w:pPr>
          </w:p>
        </w:tc>
      </w:tr>
      <w:tr w:rsidR="00671D27" w:rsidRPr="00165533" w14:paraId="0E0C9100" w14:textId="77777777">
        <w:tc>
          <w:tcPr>
            <w:tcW w:w="4106" w:type="dxa"/>
          </w:tcPr>
          <w:p w14:paraId="5424E9B4" w14:textId="0B32518D" w:rsidR="00671D27" w:rsidRPr="00165533" w:rsidRDefault="00671D27">
            <w:pPr>
              <w:pStyle w:val="Heading2"/>
              <w:ind w:right="-424"/>
              <w:rPr>
                <w:rFonts w:cs="Arial"/>
                <w:b/>
                <w:sz w:val="24"/>
                <w:szCs w:val="24"/>
                <w:lang w:val="en-GB"/>
              </w:rPr>
            </w:pPr>
            <w:r w:rsidRPr="00165533">
              <w:rPr>
                <w:rFonts w:cs="Arial"/>
                <w:b/>
                <w:sz w:val="24"/>
                <w:szCs w:val="24"/>
                <w:lang w:val="en-GB"/>
              </w:rPr>
              <w:t>Report Produced by:</w:t>
            </w:r>
          </w:p>
        </w:tc>
        <w:tc>
          <w:tcPr>
            <w:tcW w:w="5372" w:type="dxa"/>
          </w:tcPr>
          <w:p w14:paraId="14D27261" w14:textId="77777777" w:rsidR="00FB17E6" w:rsidRPr="00A87D96" w:rsidRDefault="004871E3">
            <w:pPr>
              <w:rPr>
                <w:rFonts w:ascii="Arial" w:hAnsi="Arial" w:cs="Arial"/>
                <w:bCs/>
                <w:lang w:eastAsia="en-GB"/>
              </w:rPr>
            </w:pPr>
            <w:r w:rsidRPr="00A87D96">
              <w:rPr>
                <w:rFonts w:ascii="Arial" w:hAnsi="Arial" w:cs="Arial"/>
                <w:b/>
                <w:lang w:eastAsia="en-GB"/>
              </w:rPr>
              <w:t xml:space="preserve">Toni Wood </w:t>
            </w:r>
            <w:r w:rsidRPr="00A87D96">
              <w:rPr>
                <w:rFonts w:ascii="Arial" w:hAnsi="Arial" w:cs="Arial"/>
                <w:bCs/>
                <w:lang w:eastAsia="en-GB"/>
              </w:rPr>
              <w:t>(Education &amp; Quality Assurance Officer)</w:t>
            </w:r>
          </w:p>
          <w:p w14:paraId="2726941B" w14:textId="0907223E" w:rsidR="0004131D" w:rsidRPr="00A87D96" w:rsidRDefault="0004131D">
            <w:pPr>
              <w:rPr>
                <w:rFonts w:ascii="Arial" w:hAnsi="Arial" w:cs="Arial"/>
                <w:bCs/>
                <w:lang w:eastAsia="en-GB"/>
              </w:rPr>
            </w:pPr>
          </w:p>
        </w:tc>
      </w:tr>
    </w:tbl>
    <w:p w14:paraId="16358435" w14:textId="77777777" w:rsidR="00E2148E" w:rsidRPr="00165533" w:rsidRDefault="00E2148E" w:rsidP="00E2148E">
      <w:pPr>
        <w:spacing w:after="240" w:line="240" w:lineRule="auto"/>
        <w:rPr>
          <w:rFonts w:ascii="Arial" w:hAnsi="Arial" w:cs="Arial"/>
        </w:rPr>
      </w:pPr>
    </w:p>
    <w:p w14:paraId="78282F68" w14:textId="7F521220" w:rsidR="0004131D" w:rsidRPr="00165533" w:rsidRDefault="0004131D" w:rsidP="0004131D">
      <w:pPr>
        <w:spacing w:line="278" w:lineRule="auto"/>
        <w:rPr>
          <w:rFonts w:ascii="Arial" w:hAnsi="Arial" w:cs="Arial"/>
        </w:rPr>
      </w:pPr>
      <w:r w:rsidRPr="00165533">
        <w:rPr>
          <w:rFonts w:ascii="Arial" w:hAnsi="Arial" w:cs="Arial"/>
        </w:rPr>
        <w:t xml:space="preserve">The inspection of </w:t>
      </w:r>
      <w:r w:rsidR="75B6B0D5" w:rsidRPr="00165533">
        <w:rPr>
          <w:rFonts w:ascii="Arial" w:hAnsi="Arial" w:cs="Arial"/>
        </w:rPr>
        <w:t xml:space="preserve">Cardiff University's </w:t>
      </w:r>
      <w:r w:rsidRPr="00165533">
        <w:rPr>
          <w:rFonts w:ascii="Arial" w:hAnsi="Arial" w:cs="Arial"/>
        </w:rPr>
        <w:t xml:space="preserve"> Bachelor of Dental Surgery (BDS) programme was conducted using a risk-based approach, focusing on all 21 requirements set out by the GDC. The GDC Quality Assurance Team, supported by a panel of experienced Education Associates, carried out an independent evaluation of all relevant information to determine the scope and content of the inspection.</w:t>
      </w:r>
    </w:p>
    <w:p w14:paraId="38AFA0D1" w14:textId="77777777" w:rsidR="0004131D" w:rsidRPr="00165533" w:rsidRDefault="0004131D" w:rsidP="0004131D">
      <w:pPr>
        <w:spacing w:line="278" w:lineRule="auto"/>
        <w:rPr>
          <w:rFonts w:ascii="Arial" w:hAnsi="Arial" w:cs="Arial"/>
        </w:rPr>
      </w:pPr>
      <w:r w:rsidRPr="00165533">
        <w:rPr>
          <w:rFonts w:ascii="Arial" w:hAnsi="Arial" w:cs="Arial"/>
        </w:rPr>
        <w:t>This evaluation included the annual monitoring submissions, outcomes of previous inspections (including progress against identified actions), responses to recommendations from the GDC Annual Review of Education, Fitness to Practise data, complaints received, and the time elapsed since the last inspection. Based on this review, it was determined that a full inspection covering all 21 requirements was appropriate.</w:t>
      </w:r>
    </w:p>
    <w:p w14:paraId="44B94B77" w14:textId="0A8E41E6" w:rsidR="0004131D" w:rsidRPr="00165533" w:rsidRDefault="0004131D" w:rsidP="0004131D">
      <w:pPr>
        <w:spacing w:line="278" w:lineRule="auto"/>
        <w:rPr>
          <w:rFonts w:ascii="Arial" w:hAnsi="Arial" w:cs="Arial"/>
        </w:rPr>
      </w:pPr>
      <w:r w:rsidRPr="00165533">
        <w:rPr>
          <w:rFonts w:ascii="Arial" w:hAnsi="Arial" w:cs="Arial"/>
        </w:rPr>
        <w:t xml:space="preserve">The programme benefits from a committed and dedicated team of staff who work diligently to support students, ensuring a high-quality learning experience that enables them to complete the BDS programme successfully. The panel also noted the excellent facilities available to students and the strong </w:t>
      </w:r>
      <w:r w:rsidR="00A87D96" w:rsidRPr="00165533">
        <w:rPr>
          <w:rFonts w:ascii="Arial" w:hAnsi="Arial" w:cs="Arial"/>
        </w:rPr>
        <w:t>pastoral,</w:t>
      </w:r>
      <w:r w:rsidRPr="00165533">
        <w:rPr>
          <w:rFonts w:ascii="Arial" w:hAnsi="Arial" w:cs="Arial"/>
        </w:rPr>
        <w:t xml:space="preserve"> and academic support offered throughout the course.</w:t>
      </w:r>
    </w:p>
    <w:p w14:paraId="1390F065" w14:textId="77777777" w:rsidR="0004131D" w:rsidRPr="00165533" w:rsidRDefault="0004131D" w:rsidP="0004131D">
      <w:pPr>
        <w:spacing w:line="278" w:lineRule="auto"/>
        <w:rPr>
          <w:rFonts w:ascii="Arial" w:hAnsi="Arial" w:cs="Arial"/>
        </w:rPr>
      </w:pPr>
      <w:r w:rsidRPr="00165533">
        <w:rPr>
          <w:rFonts w:ascii="Arial" w:hAnsi="Arial" w:cs="Arial"/>
        </w:rPr>
        <w:t>Only one area of concern was identified by the Education Associates—student exposure to Paediatric Dentistry. This issue was acknowledged during the inspection, and the programme team confirmed that they were aware of it and had prioritised addressing the matter.</w:t>
      </w:r>
    </w:p>
    <w:p w14:paraId="3A631634" w14:textId="77777777" w:rsidR="0004131D" w:rsidRPr="00165533" w:rsidRDefault="0004131D" w:rsidP="0004131D">
      <w:pPr>
        <w:spacing w:line="278" w:lineRule="auto"/>
        <w:rPr>
          <w:rFonts w:ascii="Arial" w:hAnsi="Arial" w:cs="Arial"/>
        </w:rPr>
      </w:pPr>
      <w:r w:rsidRPr="00165533">
        <w:rPr>
          <w:rFonts w:ascii="Arial" w:hAnsi="Arial" w:cs="Arial"/>
        </w:rPr>
        <w:t xml:space="preserve">Overall, the panel found the BDS programme to be well structured and effectively managed, with robust systems in place to assess students across the learning outcomes outlined in the GDC’s </w:t>
      </w:r>
      <w:r w:rsidRPr="00165533">
        <w:rPr>
          <w:rFonts w:ascii="Arial" w:hAnsi="Arial" w:cs="Arial"/>
          <w:i/>
          <w:iCs/>
        </w:rPr>
        <w:t>Preparing for Practice</w:t>
      </w:r>
      <w:r w:rsidRPr="00165533">
        <w:rPr>
          <w:rFonts w:ascii="Arial" w:hAnsi="Arial" w:cs="Arial"/>
        </w:rPr>
        <w:t xml:space="preserve"> guidance. The progressive development of students </w:t>
      </w:r>
      <w:r w:rsidRPr="00165533">
        <w:rPr>
          <w:rFonts w:ascii="Arial" w:hAnsi="Arial" w:cs="Arial"/>
        </w:rPr>
        <w:lastRenderedPageBreak/>
        <w:t>throughout the course was clearly demonstrated, and the panel was satisfied that graduates were fit to practise as safe beginners.</w:t>
      </w:r>
    </w:p>
    <w:p w14:paraId="0657959F" w14:textId="77777777" w:rsidR="0004131D" w:rsidRPr="00165533" w:rsidRDefault="0004131D" w:rsidP="0004131D">
      <w:pPr>
        <w:spacing w:line="278" w:lineRule="auto"/>
        <w:rPr>
          <w:rFonts w:ascii="Arial" w:hAnsi="Arial" w:cs="Arial"/>
        </w:rPr>
      </w:pPr>
      <w:r w:rsidRPr="00165533">
        <w:rPr>
          <w:rFonts w:ascii="Arial" w:hAnsi="Arial" w:cs="Arial"/>
        </w:rPr>
        <w:t>The GDC extends its thanks to the staff, students, and external stakeholders involved in the BDS programme for their cooperation and support throughout the inspection process.</w:t>
      </w:r>
    </w:p>
    <w:p w14:paraId="35F3D784" w14:textId="77777777" w:rsidR="00767F91" w:rsidRPr="00165533" w:rsidRDefault="00767F91">
      <w:pPr>
        <w:rPr>
          <w:rFonts w:ascii="Arial" w:hAnsi="Arial" w:cs="Arial"/>
          <w:b/>
          <w:color w:val="244061"/>
          <w:sz w:val="28"/>
          <w:szCs w:val="28"/>
        </w:rPr>
      </w:pPr>
    </w:p>
    <w:p w14:paraId="2180ED29" w14:textId="77777777" w:rsidR="00767F91" w:rsidRPr="00165533" w:rsidRDefault="00767F91">
      <w:pPr>
        <w:rPr>
          <w:rFonts w:ascii="Arial" w:hAnsi="Arial" w:cs="Arial"/>
          <w:b/>
          <w:color w:val="244061"/>
          <w:sz w:val="28"/>
          <w:szCs w:val="28"/>
        </w:rPr>
      </w:pPr>
    </w:p>
    <w:p w14:paraId="37C73F73" w14:textId="434DE0A0" w:rsidR="00E2148E" w:rsidRPr="00165533" w:rsidRDefault="00F671FD" w:rsidP="00E2148E">
      <w:pPr>
        <w:rPr>
          <w:rFonts w:ascii="Arial" w:hAnsi="Arial" w:cs="Arial"/>
          <w:b/>
          <w:color w:val="244061"/>
          <w:sz w:val="28"/>
          <w:szCs w:val="28"/>
        </w:rPr>
      </w:pPr>
      <w:r w:rsidRPr="00165533">
        <w:rPr>
          <w:rFonts w:ascii="Arial" w:hAnsi="Arial" w:cs="Arial"/>
          <w:b/>
          <w:color w:val="244061"/>
          <w:sz w:val="28"/>
          <w:szCs w:val="28"/>
        </w:rPr>
        <w:br w:type="page"/>
      </w:r>
      <w:r w:rsidR="00E2148E" w:rsidRPr="00165533">
        <w:rPr>
          <w:rFonts w:ascii="Arial" w:hAnsi="Arial" w:cs="Arial"/>
          <w:b/>
          <w:color w:val="244061"/>
          <w:sz w:val="28"/>
          <w:szCs w:val="28"/>
        </w:rPr>
        <w:lastRenderedPageBreak/>
        <w:t xml:space="preserve">Background and overview of </w:t>
      </w:r>
      <w:r w:rsidR="000957F1" w:rsidRPr="00165533">
        <w:rPr>
          <w:rFonts w:ascii="Arial" w:hAnsi="Arial" w:cs="Arial"/>
          <w:b/>
          <w:color w:val="244061"/>
          <w:sz w:val="28"/>
          <w:szCs w:val="28"/>
        </w:rPr>
        <w:t>q</w:t>
      </w:r>
      <w:r w:rsidR="00E2148E" w:rsidRPr="00165533">
        <w:rPr>
          <w:rFonts w:ascii="Arial" w:hAnsi="Arial" w:cs="Arial"/>
          <w:b/>
          <w:color w:val="244061"/>
          <w:sz w:val="28"/>
          <w:szCs w:val="28"/>
        </w:rPr>
        <w:t>ualification</w:t>
      </w:r>
    </w:p>
    <w:tbl>
      <w:tblPr>
        <w:tblStyle w:val="TableGrid"/>
        <w:tblW w:w="0" w:type="auto"/>
        <w:tblLook w:val="04A0" w:firstRow="1" w:lastRow="0" w:firstColumn="1" w:lastColumn="0" w:noHBand="0" w:noVBand="1"/>
      </w:tblPr>
      <w:tblGrid>
        <w:gridCol w:w="2830"/>
        <w:gridCol w:w="6186"/>
      </w:tblGrid>
      <w:tr w:rsidR="00E2148E" w:rsidRPr="00165533" w14:paraId="0984E13C" w14:textId="77777777" w:rsidTr="00AC1360">
        <w:tc>
          <w:tcPr>
            <w:tcW w:w="2830" w:type="dxa"/>
          </w:tcPr>
          <w:p w14:paraId="71D9EAC0" w14:textId="77777777" w:rsidR="00E2148E" w:rsidRPr="00165533" w:rsidRDefault="00E2148E">
            <w:pPr>
              <w:rPr>
                <w:rFonts w:ascii="Arial" w:hAnsi="Arial" w:cs="Arial"/>
                <w:sz w:val="24"/>
                <w:szCs w:val="24"/>
              </w:rPr>
            </w:pPr>
            <w:r w:rsidRPr="00165533">
              <w:rPr>
                <w:rFonts w:ascii="Arial" w:hAnsi="Arial" w:cs="Arial"/>
                <w:sz w:val="24"/>
                <w:szCs w:val="24"/>
              </w:rPr>
              <w:t>Annual intake</w:t>
            </w:r>
          </w:p>
        </w:tc>
        <w:tc>
          <w:tcPr>
            <w:tcW w:w="6186" w:type="dxa"/>
          </w:tcPr>
          <w:p w14:paraId="500FCEFF" w14:textId="11ED8D3B" w:rsidR="00E2148E" w:rsidRPr="00A87D96" w:rsidRDefault="00CA5F30">
            <w:pPr>
              <w:rPr>
                <w:rFonts w:ascii="Arial" w:hAnsi="Arial" w:cs="Arial"/>
              </w:rPr>
            </w:pPr>
            <w:r w:rsidRPr="00A87D96">
              <w:rPr>
                <w:rFonts w:ascii="Arial" w:hAnsi="Arial" w:cs="Arial"/>
              </w:rPr>
              <w:t>74</w:t>
            </w:r>
            <w:r w:rsidR="00E2148E" w:rsidRPr="00A87D96">
              <w:rPr>
                <w:rFonts w:ascii="Arial" w:hAnsi="Arial" w:cs="Arial"/>
              </w:rPr>
              <w:t xml:space="preserve"> students</w:t>
            </w:r>
          </w:p>
        </w:tc>
      </w:tr>
      <w:tr w:rsidR="00E2148E" w:rsidRPr="00165533" w14:paraId="21851DCB" w14:textId="77777777" w:rsidTr="00AC1360">
        <w:tc>
          <w:tcPr>
            <w:tcW w:w="2830" w:type="dxa"/>
          </w:tcPr>
          <w:p w14:paraId="49C1710B" w14:textId="77777777" w:rsidR="00E2148E" w:rsidRPr="00165533" w:rsidRDefault="00E2148E">
            <w:pPr>
              <w:rPr>
                <w:rFonts w:ascii="Arial" w:hAnsi="Arial" w:cs="Arial"/>
                <w:sz w:val="24"/>
                <w:szCs w:val="24"/>
              </w:rPr>
            </w:pPr>
            <w:r w:rsidRPr="00165533">
              <w:rPr>
                <w:rFonts w:ascii="Arial" w:hAnsi="Arial" w:cs="Arial"/>
                <w:sz w:val="24"/>
                <w:szCs w:val="24"/>
              </w:rPr>
              <w:t>Programme duration</w:t>
            </w:r>
          </w:p>
        </w:tc>
        <w:tc>
          <w:tcPr>
            <w:tcW w:w="6186" w:type="dxa"/>
          </w:tcPr>
          <w:p w14:paraId="1D1AA052" w14:textId="25A880E0" w:rsidR="00E2148E" w:rsidRPr="00A87D96" w:rsidRDefault="00AE1596">
            <w:pPr>
              <w:rPr>
                <w:rFonts w:ascii="Arial" w:hAnsi="Arial" w:cs="Arial"/>
              </w:rPr>
            </w:pPr>
            <w:r w:rsidRPr="00A87D96">
              <w:rPr>
                <w:rFonts w:ascii="Arial" w:hAnsi="Arial" w:cs="Arial"/>
              </w:rPr>
              <w:t>213</w:t>
            </w:r>
            <w:r w:rsidR="00E2148E" w:rsidRPr="00A87D96">
              <w:rPr>
                <w:rFonts w:ascii="Arial" w:hAnsi="Arial" w:cs="Arial"/>
              </w:rPr>
              <w:t xml:space="preserve"> weeks over </w:t>
            </w:r>
            <w:r w:rsidR="006A73DC" w:rsidRPr="00A87D96">
              <w:rPr>
                <w:rFonts w:ascii="Arial" w:hAnsi="Arial" w:cs="Arial"/>
              </w:rPr>
              <w:t xml:space="preserve">5 </w:t>
            </w:r>
            <w:r w:rsidR="00E2148E" w:rsidRPr="00A87D96">
              <w:rPr>
                <w:rFonts w:ascii="Arial" w:hAnsi="Arial" w:cs="Arial"/>
              </w:rPr>
              <w:t>years</w:t>
            </w:r>
          </w:p>
        </w:tc>
      </w:tr>
      <w:tr w:rsidR="00E2148E" w:rsidRPr="00165533" w14:paraId="66A1D4C6" w14:textId="77777777" w:rsidTr="00AC1360">
        <w:tc>
          <w:tcPr>
            <w:tcW w:w="2830" w:type="dxa"/>
          </w:tcPr>
          <w:p w14:paraId="0AD4AA79" w14:textId="77777777" w:rsidR="00E2148E" w:rsidRPr="00165533" w:rsidRDefault="00E2148E">
            <w:pPr>
              <w:rPr>
                <w:rFonts w:ascii="Arial" w:hAnsi="Arial" w:cs="Arial"/>
                <w:sz w:val="24"/>
                <w:szCs w:val="24"/>
              </w:rPr>
            </w:pPr>
            <w:r w:rsidRPr="00165533">
              <w:rPr>
                <w:rFonts w:ascii="Arial" w:hAnsi="Arial" w:cs="Arial"/>
                <w:sz w:val="24"/>
                <w:szCs w:val="24"/>
              </w:rPr>
              <w:t>Format of programme</w:t>
            </w:r>
          </w:p>
        </w:tc>
        <w:tc>
          <w:tcPr>
            <w:tcW w:w="6186" w:type="dxa"/>
          </w:tcPr>
          <w:p w14:paraId="2E6491FF" w14:textId="77777777" w:rsidR="00095B81" w:rsidRPr="00A87D96" w:rsidRDefault="00095B81" w:rsidP="00095B81">
            <w:pPr>
              <w:rPr>
                <w:rFonts w:ascii="Arial" w:hAnsi="Arial" w:cs="Arial"/>
                <w:b/>
                <w:bCs/>
              </w:rPr>
            </w:pPr>
            <w:r w:rsidRPr="00A87D96">
              <w:rPr>
                <w:rFonts w:ascii="Arial" w:hAnsi="Arial" w:cs="Arial"/>
              </w:rPr>
              <w:t>Year 1: basic scientific knowledge and professionalism, half day attachment each week for clinical orientation (including observing clinics).</w:t>
            </w:r>
            <w:r w:rsidRPr="00A87D96">
              <w:rPr>
                <w:rFonts w:ascii="Arial" w:hAnsi="Arial" w:cs="Arial"/>
                <w:b/>
                <w:bCs/>
              </w:rPr>
              <w:t> </w:t>
            </w:r>
          </w:p>
          <w:p w14:paraId="6341A2E0" w14:textId="77777777" w:rsidR="00095B81" w:rsidRPr="00A87D96" w:rsidRDefault="00095B81" w:rsidP="00095B81">
            <w:pPr>
              <w:rPr>
                <w:rFonts w:ascii="Arial" w:hAnsi="Arial" w:cs="Arial"/>
                <w:b/>
                <w:bCs/>
              </w:rPr>
            </w:pPr>
            <w:r w:rsidRPr="00A87D96">
              <w:rPr>
                <w:rFonts w:ascii="Arial" w:hAnsi="Arial" w:cs="Arial"/>
                <w:b/>
                <w:bCs/>
              </w:rPr>
              <w:t> </w:t>
            </w:r>
          </w:p>
          <w:p w14:paraId="681250E7" w14:textId="77777777" w:rsidR="00095B81" w:rsidRPr="00A87D96" w:rsidRDefault="00095B81" w:rsidP="00095B81">
            <w:pPr>
              <w:rPr>
                <w:rFonts w:ascii="Arial" w:hAnsi="Arial" w:cs="Arial"/>
                <w:b/>
                <w:bCs/>
              </w:rPr>
            </w:pPr>
            <w:r w:rsidRPr="00A87D96">
              <w:rPr>
                <w:rFonts w:ascii="Arial" w:hAnsi="Arial" w:cs="Arial"/>
              </w:rPr>
              <w:t>Year 2: basic knowledge and professionalism, clinical practice inductions, pre-clinical simulation training in periodontics and cariology / operative dentistry. In term two, when students have passed the gateway assessments, clinical sessions are scheduled without patients initially, in order to orient students to the clinical environment. Students will see their first patient in the summer term to begin carrying out assessments and treatment plans although treatment at this stage would be limited to delivery of preventive advice or PMPR/prophylaxis.</w:t>
            </w:r>
            <w:r w:rsidRPr="00A87D96">
              <w:rPr>
                <w:rFonts w:ascii="Arial" w:hAnsi="Arial" w:cs="Arial"/>
                <w:b/>
                <w:bCs/>
              </w:rPr>
              <w:t> </w:t>
            </w:r>
          </w:p>
          <w:p w14:paraId="21B68C7B" w14:textId="77777777" w:rsidR="00095B81" w:rsidRPr="00A87D96" w:rsidRDefault="00095B81" w:rsidP="00095B81">
            <w:pPr>
              <w:rPr>
                <w:rFonts w:ascii="Arial" w:hAnsi="Arial" w:cs="Arial"/>
                <w:b/>
                <w:bCs/>
              </w:rPr>
            </w:pPr>
            <w:r w:rsidRPr="00A87D96">
              <w:rPr>
                <w:rFonts w:ascii="Arial" w:hAnsi="Arial" w:cs="Arial"/>
                <w:b/>
                <w:bCs/>
              </w:rPr>
              <w:t> </w:t>
            </w:r>
          </w:p>
          <w:p w14:paraId="73380700" w14:textId="77777777" w:rsidR="00095B81" w:rsidRPr="00A87D96" w:rsidRDefault="00095B81" w:rsidP="00095B81">
            <w:pPr>
              <w:rPr>
                <w:rFonts w:ascii="Arial" w:hAnsi="Arial" w:cs="Arial"/>
                <w:b/>
                <w:bCs/>
              </w:rPr>
            </w:pPr>
            <w:r w:rsidRPr="00A87D96">
              <w:rPr>
                <w:rFonts w:ascii="Arial" w:hAnsi="Arial" w:cs="Arial"/>
              </w:rPr>
              <w:t>Year 3: applied clinical knowledge didactic teaching, pre-clinical teaching (in simulated laboratory environment; endodontology, periodontology, prosthodontics) and clinical teaching including oral surgery, restorative, paediatrics. Case-based teaching in orthodontics. Outreach placement in primary care settings.</w:t>
            </w:r>
            <w:r w:rsidRPr="00A87D96">
              <w:rPr>
                <w:rFonts w:ascii="Arial" w:hAnsi="Arial" w:cs="Arial"/>
                <w:b/>
                <w:bCs/>
              </w:rPr>
              <w:t> </w:t>
            </w:r>
          </w:p>
          <w:p w14:paraId="47716D4E" w14:textId="77777777" w:rsidR="00095B81" w:rsidRPr="00A87D96" w:rsidRDefault="00095B81" w:rsidP="00095B81">
            <w:pPr>
              <w:rPr>
                <w:rFonts w:ascii="Arial" w:hAnsi="Arial" w:cs="Arial"/>
                <w:b/>
                <w:bCs/>
              </w:rPr>
            </w:pPr>
            <w:r w:rsidRPr="00A87D96">
              <w:rPr>
                <w:rFonts w:ascii="Arial" w:hAnsi="Arial" w:cs="Arial"/>
                <w:b/>
                <w:bCs/>
              </w:rPr>
              <w:t> </w:t>
            </w:r>
          </w:p>
          <w:p w14:paraId="657B2F29" w14:textId="77777777" w:rsidR="00095B81" w:rsidRPr="00A87D96" w:rsidRDefault="00095B81" w:rsidP="00095B81">
            <w:pPr>
              <w:rPr>
                <w:rFonts w:ascii="Arial" w:hAnsi="Arial" w:cs="Arial"/>
                <w:b/>
                <w:bCs/>
              </w:rPr>
            </w:pPr>
            <w:r w:rsidRPr="00A87D96">
              <w:rPr>
                <w:rFonts w:ascii="Arial" w:hAnsi="Arial" w:cs="Arial"/>
              </w:rPr>
              <w:t>Year 4: clinical knowledge didactic teaching, clinical teaching including oral surgery, restorative, paediatrics, orthodontics, oral medicine. Simulation training in minor oral surgery procedures, advanced extra coronal restorations in a simulated environment. Research project. Outreach placement in primary care settings.</w:t>
            </w:r>
            <w:r w:rsidRPr="00A87D96">
              <w:rPr>
                <w:rFonts w:ascii="Arial" w:hAnsi="Arial" w:cs="Arial"/>
                <w:b/>
                <w:bCs/>
              </w:rPr>
              <w:t> </w:t>
            </w:r>
          </w:p>
          <w:p w14:paraId="41CD3254" w14:textId="77777777" w:rsidR="00095B81" w:rsidRPr="00A87D96" w:rsidRDefault="00095B81" w:rsidP="00095B81">
            <w:pPr>
              <w:rPr>
                <w:rFonts w:ascii="Arial" w:hAnsi="Arial" w:cs="Arial"/>
                <w:b/>
                <w:bCs/>
              </w:rPr>
            </w:pPr>
            <w:r w:rsidRPr="00A87D96">
              <w:rPr>
                <w:rFonts w:ascii="Arial" w:hAnsi="Arial" w:cs="Arial"/>
                <w:b/>
                <w:bCs/>
              </w:rPr>
              <w:t> </w:t>
            </w:r>
          </w:p>
          <w:p w14:paraId="781092B5" w14:textId="77777777" w:rsidR="00095B81" w:rsidRPr="00A87D96" w:rsidRDefault="00095B81" w:rsidP="00095B81">
            <w:pPr>
              <w:rPr>
                <w:rFonts w:ascii="Arial" w:hAnsi="Arial" w:cs="Arial"/>
                <w:b/>
                <w:bCs/>
              </w:rPr>
            </w:pPr>
            <w:r w:rsidRPr="00A87D96">
              <w:rPr>
                <w:rFonts w:ascii="Arial" w:hAnsi="Arial" w:cs="Arial"/>
              </w:rPr>
              <w:t>Year 5: mainly clinical and outreach placements, clinical teaching including consolidation in oral surgery (including surgery), restorative, paediatrics, orthodontics and oral medicine. Outreach placements in primary care settings, Community Dental Services (CDS) for paediatrics and District General Hospitals (DGH) for maxillofacial surgery.</w:t>
            </w:r>
          </w:p>
          <w:p w14:paraId="41514A72" w14:textId="45C840A3" w:rsidR="00E2148E" w:rsidRPr="00A87D96" w:rsidRDefault="00E2148E">
            <w:pPr>
              <w:rPr>
                <w:rFonts w:ascii="Arial" w:hAnsi="Arial" w:cs="Arial"/>
              </w:rPr>
            </w:pPr>
          </w:p>
        </w:tc>
      </w:tr>
      <w:tr w:rsidR="00E2148E" w:rsidRPr="00165533" w14:paraId="6266D366" w14:textId="77777777" w:rsidTr="00AC1360">
        <w:tc>
          <w:tcPr>
            <w:tcW w:w="2830" w:type="dxa"/>
          </w:tcPr>
          <w:p w14:paraId="696C9634" w14:textId="4CB68B22" w:rsidR="00E2148E" w:rsidRPr="00165533" w:rsidRDefault="00E2148E">
            <w:pPr>
              <w:rPr>
                <w:rFonts w:ascii="Arial" w:hAnsi="Arial" w:cs="Arial"/>
                <w:sz w:val="24"/>
                <w:szCs w:val="24"/>
              </w:rPr>
            </w:pPr>
            <w:r w:rsidRPr="00165533">
              <w:rPr>
                <w:rFonts w:ascii="Arial" w:hAnsi="Arial" w:cs="Arial"/>
                <w:sz w:val="24"/>
                <w:szCs w:val="24"/>
              </w:rPr>
              <w:t>Number of providers delivering the programme</w:t>
            </w:r>
            <w:r w:rsidR="00DB0397" w:rsidRPr="00165533">
              <w:rPr>
                <w:rFonts w:ascii="Arial" w:hAnsi="Arial" w:cs="Arial"/>
                <w:sz w:val="24"/>
                <w:szCs w:val="24"/>
              </w:rPr>
              <w:t xml:space="preserve"> </w:t>
            </w:r>
          </w:p>
        </w:tc>
        <w:tc>
          <w:tcPr>
            <w:tcW w:w="6186" w:type="dxa"/>
          </w:tcPr>
          <w:p w14:paraId="05CB46C6" w14:textId="659F6FB7" w:rsidR="00E2148E" w:rsidRPr="00A87D96" w:rsidRDefault="00E47A2D">
            <w:pPr>
              <w:rPr>
                <w:rFonts w:ascii="Arial" w:hAnsi="Arial" w:cs="Arial"/>
              </w:rPr>
            </w:pPr>
            <w:r w:rsidRPr="00A87D96">
              <w:rPr>
                <w:rFonts w:ascii="Arial" w:hAnsi="Arial" w:cs="Arial"/>
              </w:rPr>
              <w:t>1</w:t>
            </w:r>
          </w:p>
        </w:tc>
      </w:tr>
    </w:tbl>
    <w:p w14:paraId="1DC8D61C" w14:textId="77777777" w:rsidR="00E2148E" w:rsidRPr="00165533" w:rsidRDefault="00E2148E" w:rsidP="00E2148E">
      <w:pPr>
        <w:spacing w:after="240" w:line="240" w:lineRule="auto"/>
        <w:rPr>
          <w:rFonts w:ascii="Arial" w:hAnsi="Arial" w:cs="Arial"/>
        </w:rPr>
      </w:pPr>
    </w:p>
    <w:p w14:paraId="47398EDA" w14:textId="77777777" w:rsidR="00E2148E" w:rsidRPr="00165533" w:rsidRDefault="00E2148E" w:rsidP="00E2148E">
      <w:pPr>
        <w:rPr>
          <w:rFonts w:ascii="Arial" w:hAnsi="Arial" w:cs="Arial"/>
        </w:rPr>
      </w:pPr>
      <w:r w:rsidRPr="00165533">
        <w:rPr>
          <w:rFonts w:ascii="Arial" w:hAnsi="Arial" w:cs="Arial"/>
        </w:rPr>
        <w:br w:type="page"/>
      </w:r>
    </w:p>
    <w:p w14:paraId="4D6B47C7" w14:textId="77777777" w:rsidR="0004131D" w:rsidRPr="00165533" w:rsidRDefault="0004131D" w:rsidP="00E2148E">
      <w:pPr>
        <w:rPr>
          <w:rFonts w:ascii="Arial" w:hAnsi="Arial" w:cs="Arial"/>
          <w:b/>
          <w:color w:val="1F3864" w:themeColor="accent1" w:themeShade="80"/>
          <w:sz w:val="28"/>
        </w:rPr>
      </w:pPr>
    </w:p>
    <w:p w14:paraId="21641909" w14:textId="7EB3B19D" w:rsidR="0004131D" w:rsidRPr="00165533" w:rsidRDefault="00F671FD" w:rsidP="00E2148E">
      <w:pPr>
        <w:rPr>
          <w:rFonts w:ascii="Arial" w:hAnsi="Arial" w:cs="Arial"/>
          <w:b/>
          <w:color w:val="1F3864" w:themeColor="accent1" w:themeShade="80"/>
          <w:sz w:val="28"/>
        </w:rPr>
      </w:pPr>
      <w:r w:rsidRPr="00165533">
        <w:rPr>
          <w:rFonts w:ascii="Arial" w:hAnsi="Arial" w:cs="Arial"/>
          <w:b/>
          <w:color w:val="1F3864" w:themeColor="accent1" w:themeShade="80"/>
          <w:sz w:val="28"/>
        </w:rPr>
        <w:t>Outcome of relevant Requirements</w:t>
      </w:r>
      <w:r w:rsidRPr="00165533">
        <w:rPr>
          <w:rStyle w:val="FootnoteReference"/>
          <w:rFonts w:ascii="Arial" w:hAnsi="Arial" w:cs="Arial"/>
          <w:b/>
          <w:color w:val="1F3864" w:themeColor="accent1" w:themeShade="80"/>
          <w:sz w:val="28"/>
        </w:rPr>
        <w:footnoteReference w:id="1"/>
      </w:r>
    </w:p>
    <w:tbl>
      <w:tblPr>
        <w:tblStyle w:val="TableGrid"/>
        <w:tblW w:w="9464" w:type="dxa"/>
        <w:tblLook w:val="04A0" w:firstRow="1" w:lastRow="0" w:firstColumn="1" w:lastColumn="0" w:noHBand="0" w:noVBand="1"/>
      </w:tblPr>
      <w:tblGrid>
        <w:gridCol w:w="4508"/>
        <w:gridCol w:w="4508"/>
        <w:gridCol w:w="448"/>
      </w:tblGrid>
      <w:tr w:rsidR="00E2148E" w:rsidRPr="00165533" w14:paraId="76A828C8" w14:textId="77777777" w:rsidTr="477A49B1">
        <w:trPr>
          <w:gridAfter w:val="1"/>
          <w:wAfter w:w="448" w:type="dxa"/>
        </w:trPr>
        <w:tc>
          <w:tcPr>
            <w:tcW w:w="9016" w:type="dxa"/>
            <w:gridSpan w:val="2"/>
            <w:shd w:val="clear" w:color="auto" w:fill="D9D9D9" w:themeFill="background1" w:themeFillShade="D9"/>
          </w:tcPr>
          <w:p w14:paraId="5C45A3C2" w14:textId="77777777" w:rsidR="00E2148E" w:rsidRPr="00165533" w:rsidRDefault="00E2148E">
            <w:pPr>
              <w:jc w:val="center"/>
              <w:rPr>
                <w:rFonts w:ascii="Arial" w:hAnsi="Arial" w:cs="Arial"/>
                <w:b/>
              </w:rPr>
            </w:pPr>
            <w:r w:rsidRPr="00165533">
              <w:rPr>
                <w:rFonts w:ascii="Arial" w:hAnsi="Arial" w:cs="Arial"/>
                <w:b/>
                <w:sz w:val="24"/>
                <w:szCs w:val="24"/>
              </w:rPr>
              <w:t>Standard One</w:t>
            </w:r>
          </w:p>
        </w:tc>
      </w:tr>
      <w:tr w:rsidR="00E2148E" w:rsidRPr="00165533" w14:paraId="22928EA9" w14:textId="77777777" w:rsidTr="477A49B1">
        <w:trPr>
          <w:gridAfter w:val="1"/>
          <w:wAfter w:w="448" w:type="dxa"/>
          <w:trHeight w:val="565"/>
        </w:trPr>
        <w:tc>
          <w:tcPr>
            <w:tcW w:w="4508" w:type="dxa"/>
          </w:tcPr>
          <w:p w14:paraId="2C3182A9" w14:textId="77777777" w:rsidR="00E2148E" w:rsidRPr="00165533" w:rsidRDefault="00E2148E">
            <w:pPr>
              <w:spacing w:line="276" w:lineRule="auto"/>
              <w:jc w:val="center"/>
              <w:rPr>
                <w:rFonts w:ascii="Arial" w:hAnsi="Arial" w:cs="Arial"/>
              </w:rPr>
            </w:pPr>
            <w:r w:rsidRPr="00165533">
              <w:rPr>
                <w:rFonts w:ascii="Arial" w:hAnsi="Arial" w:cs="Arial"/>
              </w:rPr>
              <w:t>1</w:t>
            </w:r>
          </w:p>
          <w:p w14:paraId="026E4692" w14:textId="77777777" w:rsidR="00E2148E" w:rsidRPr="00165533" w:rsidRDefault="00E2148E">
            <w:pPr>
              <w:spacing w:line="276" w:lineRule="auto"/>
              <w:jc w:val="center"/>
              <w:rPr>
                <w:rFonts w:ascii="Arial" w:hAnsi="Arial" w:cs="Arial"/>
              </w:rPr>
            </w:pPr>
          </w:p>
        </w:tc>
        <w:tc>
          <w:tcPr>
            <w:tcW w:w="4508" w:type="dxa"/>
          </w:tcPr>
          <w:p w14:paraId="5B95F2DA" w14:textId="1D371DFD" w:rsidR="00143716" w:rsidRPr="00165533" w:rsidRDefault="009E1AE5">
            <w:pPr>
              <w:jc w:val="center"/>
              <w:rPr>
                <w:rFonts w:ascii="Arial" w:hAnsi="Arial" w:cs="Arial"/>
              </w:rPr>
            </w:pPr>
            <w:r w:rsidRPr="00165533">
              <w:rPr>
                <w:rFonts w:ascii="Arial" w:hAnsi="Arial" w:cs="Arial"/>
              </w:rPr>
              <w:t>Met</w:t>
            </w:r>
          </w:p>
        </w:tc>
      </w:tr>
      <w:tr w:rsidR="00E2148E" w:rsidRPr="00165533" w14:paraId="63DA87C0" w14:textId="77777777" w:rsidTr="477A49B1">
        <w:trPr>
          <w:gridAfter w:val="1"/>
          <w:wAfter w:w="448" w:type="dxa"/>
        </w:trPr>
        <w:tc>
          <w:tcPr>
            <w:tcW w:w="4508" w:type="dxa"/>
          </w:tcPr>
          <w:p w14:paraId="6B779E5E" w14:textId="77777777" w:rsidR="00E2148E" w:rsidRPr="00165533" w:rsidRDefault="00E2148E">
            <w:pPr>
              <w:jc w:val="center"/>
              <w:rPr>
                <w:rFonts w:ascii="Arial" w:hAnsi="Arial" w:cs="Arial"/>
              </w:rPr>
            </w:pPr>
            <w:r w:rsidRPr="00165533">
              <w:rPr>
                <w:rFonts w:ascii="Arial" w:hAnsi="Arial" w:cs="Arial"/>
              </w:rPr>
              <w:t>2</w:t>
            </w:r>
          </w:p>
          <w:p w14:paraId="67036618" w14:textId="77777777" w:rsidR="00E2148E" w:rsidRPr="00165533" w:rsidRDefault="00E2148E">
            <w:pPr>
              <w:jc w:val="center"/>
              <w:rPr>
                <w:rFonts w:ascii="Arial" w:hAnsi="Arial" w:cs="Arial"/>
              </w:rPr>
            </w:pPr>
          </w:p>
        </w:tc>
        <w:tc>
          <w:tcPr>
            <w:tcW w:w="4508" w:type="dxa"/>
          </w:tcPr>
          <w:p w14:paraId="0870A0EE" w14:textId="4636052B" w:rsidR="00E2148E" w:rsidRPr="00165533" w:rsidRDefault="009E1AE5" w:rsidP="00143716">
            <w:pPr>
              <w:jc w:val="center"/>
              <w:rPr>
                <w:rFonts w:ascii="Arial" w:hAnsi="Arial" w:cs="Arial"/>
              </w:rPr>
            </w:pPr>
            <w:r w:rsidRPr="00165533">
              <w:rPr>
                <w:rFonts w:ascii="Arial" w:hAnsi="Arial" w:cs="Arial"/>
              </w:rPr>
              <w:t>Met</w:t>
            </w:r>
          </w:p>
        </w:tc>
      </w:tr>
      <w:tr w:rsidR="00E2148E" w:rsidRPr="00165533" w14:paraId="28AEE4FA" w14:textId="77777777" w:rsidTr="477A49B1">
        <w:trPr>
          <w:gridAfter w:val="1"/>
          <w:wAfter w:w="448" w:type="dxa"/>
        </w:trPr>
        <w:tc>
          <w:tcPr>
            <w:tcW w:w="4508" w:type="dxa"/>
          </w:tcPr>
          <w:p w14:paraId="5196C0EB" w14:textId="77777777" w:rsidR="00E2148E" w:rsidRPr="00165533" w:rsidRDefault="00E2148E">
            <w:pPr>
              <w:jc w:val="center"/>
              <w:rPr>
                <w:rFonts w:ascii="Arial" w:hAnsi="Arial" w:cs="Arial"/>
              </w:rPr>
            </w:pPr>
            <w:r w:rsidRPr="00165533">
              <w:rPr>
                <w:rFonts w:ascii="Arial" w:hAnsi="Arial" w:cs="Arial"/>
              </w:rPr>
              <w:t>3</w:t>
            </w:r>
          </w:p>
          <w:p w14:paraId="1F73CDFE" w14:textId="77777777" w:rsidR="00E2148E" w:rsidRPr="00165533" w:rsidRDefault="00E2148E">
            <w:pPr>
              <w:jc w:val="center"/>
              <w:rPr>
                <w:rFonts w:ascii="Arial" w:hAnsi="Arial" w:cs="Arial"/>
              </w:rPr>
            </w:pPr>
          </w:p>
        </w:tc>
        <w:tc>
          <w:tcPr>
            <w:tcW w:w="4508" w:type="dxa"/>
          </w:tcPr>
          <w:p w14:paraId="38B23BDA" w14:textId="71337078" w:rsidR="00E2148E" w:rsidRPr="00165533" w:rsidRDefault="005D7699" w:rsidP="00143716">
            <w:pPr>
              <w:jc w:val="center"/>
              <w:rPr>
                <w:rFonts w:ascii="Arial" w:hAnsi="Arial" w:cs="Arial"/>
              </w:rPr>
            </w:pPr>
            <w:r w:rsidRPr="00165533">
              <w:rPr>
                <w:rFonts w:ascii="Arial" w:hAnsi="Arial" w:cs="Arial"/>
              </w:rPr>
              <w:t>Met</w:t>
            </w:r>
          </w:p>
        </w:tc>
      </w:tr>
      <w:tr w:rsidR="00E2148E" w:rsidRPr="00165533" w14:paraId="64B00FE0" w14:textId="77777777" w:rsidTr="477A49B1">
        <w:trPr>
          <w:gridAfter w:val="1"/>
          <w:wAfter w:w="448" w:type="dxa"/>
        </w:trPr>
        <w:tc>
          <w:tcPr>
            <w:tcW w:w="4508" w:type="dxa"/>
          </w:tcPr>
          <w:p w14:paraId="589308EF" w14:textId="77777777" w:rsidR="00E2148E" w:rsidRPr="00165533" w:rsidRDefault="00E2148E">
            <w:pPr>
              <w:jc w:val="center"/>
              <w:rPr>
                <w:rFonts w:ascii="Arial" w:hAnsi="Arial" w:cs="Arial"/>
              </w:rPr>
            </w:pPr>
            <w:r w:rsidRPr="00165533">
              <w:rPr>
                <w:rFonts w:ascii="Arial" w:hAnsi="Arial" w:cs="Arial"/>
              </w:rPr>
              <w:t>4</w:t>
            </w:r>
          </w:p>
          <w:p w14:paraId="1BCAA8EB" w14:textId="77777777" w:rsidR="00E2148E" w:rsidRPr="00165533" w:rsidRDefault="00E2148E">
            <w:pPr>
              <w:jc w:val="center"/>
              <w:rPr>
                <w:rFonts w:ascii="Arial" w:hAnsi="Arial" w:cs="Arial"/>
              </w:rPr>
            </w:pPr>
          </w:p>
        </w:tc>
        <w:tc>
          <w:tcPr>
            <w:tcW w:w="4508" w:type="dxa"/>
          </w:tcPr>
          <w:p w14:paraId="48BF0F05" w14:textId="4EFDFA36" w:rsidR="00E2148E" w:rsidRPr="00165533" w:rsidRDefault="009E1AE5" w:rsidP="00143716">
            <w:pPr>
              <w:jc w:val="center"/>
              <w:rPr>
                <w:rFonts w:ascii="Arial" w:hAnsi="Arial" w:cs="Arial"/>
              </w:rPr>
            </w:pPr>
            <w:r w:rsidRPr="00165533">
              <w:rPr>
                <w:rFonts w:ascii="Arial" w:hAnsi="Arial" w:cs="Arial"/>
              </w:rPr>
              <w:t>Met</w:t>
            </w:r>
          </w:p>
        </w:tc>
      </w:tr>
      <w:tr w:rsidR="00E2148E" w:rsidRPr="00165533" w14:paraId="6F2A68B8" w14:textId="77777777" w:rsidTr="477A49B1">
        <w:trPr>
          <w:gridAfter w:val="1"/>
          <w:wAfter w:w="448" w:type="dxa"/>
        </w:trPr>
        <w:tc>
          <w:tcPr>
            <w:tcW w:w="4508" w:type="dxa"/>
          </w:tcPr>
          <w:p w14:paraId="515DF524" w14:textId="77777777" w:rsidR="00E2148E" w:rsidRPr="00165533" w:rsidRDefault="00E2148E">
            <w:pPr>
              <w:jc w:val="center"/>
              <w:rPr>
                <w:rFonts w:ascii="Arial" w:hAnsi="Arial" w:cs="Arial"/>
              </w:rPr>
            </w:pPr>
            <w:r w:rsidRPr="00165533">
              <w:rPr>
                <w:rFonts w:ascii="Arial" w:hAnsi="Arial" w:cs="Arial"/>
              </w:rPr>
              <w:t>5</w:t>
            </w:r>
          </w:p>
          <w:p w14:paraId="1C924E15" w14:textId="77777777" w:rsidR="00E2148E" w:rsidRPr="00165533" w:rsidRDefault="00E2148E">
            <w:pPr>
              <w:jc w:val="center"/>
              <w:rPr>
                <w:rFonts w:ascii="Arial" w:hAnsi="Arial" w:cs="Arial"/>
              </w:rPr>
            </w:pPr>
          </w:p>
        </w:tc>
        <w:tc>
          <w:tcPr>
            <w:tcW w:w="4508" w:type="dxa"/>
          </w:tcPr>
          <w:p w14:paraId="33CA339A" w14:textId="308AF8E2" w:rsidR="00E2148E" w:rsidRPr="00165533" w:rsidRDefault="005D7699" w:rsidP="00143716">
            <w:pPr>
              <w:jc w:val="center"/>
              <w:rPr>
                <w:rFonts w:ascii="Arial" w:hAnsi="Arial" w:cs="Arial"/>
              </w:rPr>
            </w:pPr>
            <w:r w:rsidRPr="00165533">
              <w:rPr>
                <w:rFonts w:ascii="Arial" w:hAnsi="Arial" w:cs="Arial"/>
              </w:rPr>
              <w:t>Met</w:t>
            </w:r>
          </w:p>
        </w:tc>
      </w:tr>
      <w:tr w:rsidR="00E2148E" w:rsidRPr="00165533" w14:paraId="0FB97D48" w14:textId="77777777" w:rsidTr="477A49B1">
        <w:trPr>
          <w:gridAfter w:val="1"/>
          <w:wAfter w:w="448" w:type="dxa"/>
        </w:trPr>
        <w:tc>
          <w:tcPr>
            <w:tcW w:w="4508" w:type="dxa"/>
          </w:tcPr>
          <w:p w14:paraId="49004983" w14:textId="77777777" w:rsidR="00E2148E" w:rsidRPr="00165533" w:rsidRDefault="00E2148E">
            <w:pPr>
              <w:jc w:val="center"/>
              <w:rPr>
                <w:rFonts w:ascii="Arial" w:hAnsi="Arial" w:cs="Arial"/>
              </w:rPr>
            </w:pPr>
            <w:r w:rsidRPr="00165533">
              <w:rPr>
                <w:rFonts w:ascii="Arial" w:hAnsi="Arial" w:cs="Arial"/>
              </w:rPr>
              <w:t>6</w:t>
            </w:r>
          </w:p>
          <w:p w14:paraId="2B110B5F" w14:textId="77777777" w:rsidR="00E2148E" w:rsidRPr="00165533" w:rsidRDefault="00E2148E">
            <w:pPr>
              <w:jc w:val="center"/>
              <w:rPr>
                <w:rFonts w:ascii="Arial" w:hAnsi="Arial" w:cs="Arial"/>
              </w:rPr>
            </w:pPr>
          </w:p>
        </w:tc>
        <w:tc>
          <w:tcPr>
            <w:tcW w:w="4508" w:type="dxa"/>
          </w:tcPr>
          <w:p w14:paraId="47EDFAC0" w14:textId="16F91921" w:rsidR="00E2148E" w:rsidRPr="00165533" w:rsidRDefault="009E1AE5" w:rsidP="00143716">
            <w:pPr>
              <w:jc w:val="center"/>
              <w:rPr>
                <w:rFonts w:ascii="Arial" w:hAnsi="Arial" w:cs="Arial"/>
              </w:rPr>
            </w:pPr>
            <w:r w:rsidRPr="00165533">
              <w:rPr>
                <w:rFonts w:ascii="Arial" w:hAnsi="Arial" w:cs="Arial"/>
              </w:rPr>
              <w:t>Met</w:t>
            </w:r>
          </w:p>
        </w:tc>
      </w:tr>
      <w:tr w:rsidR="00E2148E" w:rsidRPr="00165533" w14:paraId="43D1098A" w14:textId="77777777" w:rsidTr="477A49B1">
        <w:trPr>
          <w:gridAfter w:val="1"/>
          <w:wAfter w:w="448" w:type="dxa"/>
        </w:trPr>
        <w:tc>
          <w:tcPr>
            <w:tcW w:w="4508" w:type="dxa"/>
          </w:tcPr>
          <w:p w14:paraId="5A07EB5A" w14:textId="77777777" w:rsidR="00E2148E" w:rsidRPr="00165533" w:rsidRDefault="00E2148E">
            <w:pPr>
              <w:jc w:val="center"/>
              <w:rPr>
                <w:rFonts w:ascii="Arial" w:hAnsi="Arial" w:cs="Arial"/>
              </w:rPr>
            </w:pPr>
            <w:r w:rsidRPr="00165533">
              <w:rPr>
                <w:rFonts w:ascii="Arial" w:hAnsi="Arial" w:cs="Arial"/>
              </w:rPr>
              <w:t>7</w:t>
            </w:r>
          </w:p>
          <w:p w14:paraId="7CDCBE5F" w14:textId="77777777" w:rsidR="00E2148E" w:rsidRPr="00165533" w:rsidRDefault="00E2148E">
            <w:pPr>
              <w:jc w:val="center"/>
              <w:rPr>
                <w:rFonts w:ascii="Arial" w:hAnsi="Arial" w:cs="Arial"/>
              </w:rPr>
            </w:pPr>
          </w:p>
        </w:tc>
        <w:tc>
          <w:tcPr>
            <w:tcW w:w="4508" w:type="dxa"/>
          </w:tcPr>
          <w:p w14:paraId="3B804B2E" w14:textId="4D5E431B" w:rsidR="00E2148E" w:rsidRPr="00165533" w:rsidRDefault="005D7699" w:rsidP="00143716">
            <w:pPr>
              <w:jc w:val="center"/>
              <w:rPr>
                <w:rFonts w:ascii="Arial" w:hAnsi="Arial" w:cs="Arial"/>
              </w:rPr>
            </w:pPr>
            <w:r w:rsidRPr="00165533">
              <w:rPr>
                <w:rFonts w:ascii="Arial" w:hAnsi="Arial" w:cs="Arial"/>
              </w:rPr>
              <w:t>Met</w:t>
            </w:r>
          </w:p>
        </w:tc>
      </w:tr>
      <w:tr w:rsidR="00E2148E" w:rsidRPr="00165533" w14:paraId="689DA4D9" w14:textId="77777777" w:rsidTr="477A49B1">
        <w:trPr>
          <w:gridAfter w:val="1"/>
          <w:wAfter w:w="448" w:type="dxa"/>
        </w:trPr>
        <w:tc>
          <w:tcPr>
            <w:tcW w:w="4508" w:type="dxa"/>
          </w:tcPr>
          <w:p w14:paraId="4567C734" w14:textId="77777777" w:rsidR="00E2148E" w:rsidRPr="00165533" w:rsidRDefault="00E2148E">
            <w:pPr>
              <w:jc w:val="center"/>
              <w:rPr>
                <w:rFonts w:ascii="Arial" w:hAnsi="Arial" w:cs="Arial"/>
              </w:rPr>
            </w:pPr>
            <w:r w:rsidRPr="00165533">
              <w:rPr>
                <w:rFonts w:ascii="Arial" w:hAnsi="Arial" w:cs="Arial"/>
              </w:rPr>
              <w:t>8</w:t>
            </w:r>
          </w:p>
          <w:p w14:paraId="3951E816" w14:textId="77777777" w:rsidR="00E2148E" w:rsidRPr="00165533" w:rsidRDefault="00E2148E">
            <w:pPr>
              <w:jc w:val="center"/>
              <w:rPr>
                <w:rFonts w:ascii="Arial" w:hAnsi="Arial" w:cs="Arial"/>
              </w:rPr>
            </w:pPr>
          </w:p>
        </w:tc>
        <w:tc>
          <w:tcPr>
            <w:tcW w:w="4508" w:type="dxa"/>
          </w:tcPr>
          <w:p w14:paraId="164177CD" w14:textId="58CA7E76" w:rsidR="00E2148E" w:rsidRPr="00165533" w:rsidRDefault="009E1AE5" w:rsidP="00143716">
            <w:pPr>
              <w:jc w:val="center"/>
              <w:rPr>
                <w:rFonts w:ascii="Arial" w:hAnsi="Arial" w:cs="Arial"/>
              </w:rPr>
            </w:pPr>
            <w:r w:rsidRPr="00165533">
              <w:rPr>
                <w:rFonts w:ascii="Arial" w:hAnsi="Arial" w:cs="Arial"/>
              </w:rPr>
              <w:t>Met</w:t>
            </w:r>
          </w:p>
        </w:tc>
      </w:tr>
      <w:tr w:rsidR="00E2148E" w:rsidRPr="00165533" w14:paraId="1C7773BB" w14:textId="77777777" w:rsidTr="477A49B1">
        <w:trPr>
          <w:gridAfter w:val="1"/>
          <w:wAfter w:w="448" w:type="dxa"/>
        </w:trPr>
        <w:tc>
          <w:tcPr>
            <w:tcW w:w="9016" w:type="dxa"/>
            <w:gridSpan w:val="2"/>
            <w:shd w:val="clear" w:color="auto" w:fill="D9D9D9" w:themeFill="background1" w:themeFillShade="D9"/>
          </w:tcPr>
          <w:p w14:paraId="02CA0D93" w14:textId="77777777" w:rsidR="00E2148E" w:rsidRPr="00165533" w:rsidRDefault="00E2148E">
            <w:pPr>
              <w:jc w:val="center"/>
              <w:rPr>
                <w:rFonts w:ascii="Arial" w:hAnsi="Arial" w:cs="Arial"/>
                <w:b/>
              </w:rPr>
            </w:pPr>
            <w:r w:rsidRPr="00165533">
              <w:rPr>
                <w:rFonts w:ascii="Arial" w:hAnsi="Arial" w:cs="Arial"/>
                <w:b/>
                <w:sz w:val="24"/>
                <w:szCs w:val="24"/>
              </w:rPr>
              <w:t>Standard Two</w:t>
            </w:r>
          </w:p>
        </w:tc>
      </w:tr>
      <w:tr w:rsidR="00E2148E" w:rsidRPr="00165533" w14:paraId="2348BE16" w14:textId="77777777" w:rsidTr="477A49B1">
        <w:trPr>
          <w:gridAfter w:val="1"/>
          <w:wAfter w:w="448" w:type="dxa"/>
        </w:trPr>
        <w:tc>
          <w:tcPr>
            <w:tcW w:w="4508" w:type="dxa"/>
          </w:tcPr>
          <w:p w14:paraId="2D9F90AC" w14:textId="77777777" w:rsidR="00E2148E" w:rsidRPr="00165533" w:rsidRDefault="00E2148E">
            <w:pPr>
              <w:jc w:val="center"/>
              <w:rPr>
                <w:rFonts w:ascii="Arial" w:hAnsi="Arial" w:cs="Arial"/>
              </w:rPr>
            </w:pPr>
            <w:r w:rsidRPr="00165533">
              <w:rPr>
                <w:rFonts w:ascii="Arial" w:hAnsi="Arial" w:cs="Arial"/>
              </w:rPr>
              <w:t>9</w:t>
            </w:r>
          </w:p>
          <w:p w14:paraId="5D7DE8C1" w14:textId="77777777" w:rsidR="00E2148E" w:rsidRPr="00165533" w:rsidRDefault="00E2148E">
            <w:pPr>
              <w:jc w:val="center"/>
              <w:rPr>
                <w:rFonts w:ascii="Arial" w:hAnsi="Arial" w:cs="Arial"/>
              </w:rPr>
            </w:pPr>
          </w:p>
        </w:tc>
        <w:tc>
          <w:tcPr>
            <w:tcW w:w="4508" w:type="dxa"/>
          </w:tcPr>
          <w:p w14:paraId="42571EE3" w14:textId="7B8F6886" w:rsidR="00E2148E" w:rsidRPr="00165533" w:rsidRDefault="009E1AE5" w:rsidP="00143716">
            <w:pPr>
              <w:jc w:val="center"/>
              <w:rPr>
                <w:rFonts w:ascii="Arial" w:hAnsi="Arial" w:cs="Arial"/>
              </w:rPr>
            </w:pPr>
            <w:r w:rsidRPr="00165533">
              <w:rPr>
                <w:rFonts w:ascii="Arial" w:hAnsi="Arial" w:cs="Arial"/>
              </w:rPr>
              <w:t>Met</w:t>
            </w:r>
          </w:p>
        </w:tc>
      </w:tr>
      <w:tr w:rsidR="00E2148E" w:rsidRPr="00165533" w14:paraId="105220D4" w14:textId="77777777" w:rsidTr="477A49B1">
        <w:trPr>
          <w:gridAfter w:val="1"/>
          <w:wAfter w:w="448" w:type="dxa"/>
        </w:trPr>
        <w:tc>
          <w:tcPr>
            <w:tcW w:w="4508" w:type="dxa"/>
          </w:tcPr>
          <w:p w14:paraId="38B120BE" w14:textId="77777777" w:rsidR="00E2148E" w:rsidRPr="00165533" w:rsidRDefault="00E2148E">
            <w:pPr>
              <w:jc w:val="center"/>
              <w:rPr>
                <w:rFonts w:ascii="Arial" w:hAnsi="Arial" w:cs="Arial"/>
              </w:rPr>
            </w:pPr>
            <w:r w:rsidRPr="00165533">
              <w:rPr>
                <w:rFonts w:ascii="Arial" w:hAnsi="Arial" w:cs="Arial"/>
              </w:rPr>
              <w:t>10</w:t>
            </w:r>
          </w:p>
          <w:p w14:paraId="7E41EF30" w14:textId="77777777" w:rsidR="00E2148E" w:rsidRPr="00165533" w:rsidRDefault="00E2148E">
            <w:pPr>
              <w:jc w:val="center"/>
              <w:rPr>
                <w:rFonts w:ascii="Arial" w:hAnsi="Arial" w:cs="Arial"/>
              </w:rPr>
            </w:pPr>
          </w:p>
        </w:tc>
        <w:tc>
          <w:tcPr>
            <w:tcW w:w="4508" w:type="dxa"/>
          </w:tcPr>
          <w:p w14:paraId="4282004B" w14:textId="5A56BF1B" w:rsidR="00E2148E" w:rsidRPr="00165533" w:rsidRDefault="009E1AE5" w:rsidP="00143716">
            <w:pPr>
              <w:jc w:val="center"/>
              <w:rPr>
                <w:rFonts w:ascii="Arial" w:hAnsi="Arial" w:cs="Arial"/>
              </w:rPr>
            </w:pPr>
            <w:r w:rsidRPr="00165533">
              <w:rPr>
                <w:rFonts w:ascii="Arial" w:hAnsi="Arial" w:cs="Arial"/>
              </w:rPr>
              <w:t>Met</w:t>
            </w:r>
          </w:p>
        </w:tc>
      </w:tr>
      <w:tr w:rsidR="00E2148E" w:rsidRPr="00165533" w14:paraId="56105FA1" w14:textId="77777777" w:rsidTr="477A49B1">
        <w:trPr>
          <w:gridAfter w:val="1"/>
          <w:wAfter w:w="448" w:type="dxa"/>
        </w:trPr>
        <w:tc>
          <w:tcPr>
            <w:tcW w:w="4508" w:type="dxa"/>
          </w:tcPr>
          <w:p w14:paraId="39C227DA" w14:textId="77777777" w:rsidR="00E2148E" w:rsidRPr="00165533" w:rsidRDefault="00E2148E">
            <w:pPr>
              <w:jc w:val="center"/>
              <w:rPr>
                <w:rFonts w:ascii="Arial" w:hAnsi="Arial" w:cs="Arial"/>
              </w:rPr>
            </w:pPr>
            <w:r w:rsidRPr="00165533">
              <w:rPr>
                <w:rFonts w:ascii="Arial" w:hAnsi="Arial" w:cs="Arial"/>
              </w:rPr>
              <w:t>11</w:t>
            </w:r>
          </w:p>
          <w:p w14:paraId="687FB0EE" w14:textId="77777777" w:rsidR="00E2148E" w:rsidRPr="00165533" w:rsidRDefault="00E2148E">
            <w:pPr>
              <w:jc w:val="center"/>
              <w:rPr>
                <w:rFonts w:ascii="Arial" w:hAnsi="Arial" w:cs="Arial"/>
              </w:rPr>
            </w:pPr>
          </w:p>
        </w:tc>
        <w:tc>
          <w:tcPr>
            <w:tcW w:w="4508" w:type="dxa"/>
          </w:tcPr>
          <w:p w14:paraId="05B39965" w14:textId="277A2772" w:rsidR="00E2148E" w:rsidRPr="00165533" w:rsidRDefault="009E1AE5" w:rsidP="00143716">
            <w:pPr>
              <w:jc w:val="center"/>
              <w:rPr>
                <w:rFonts w:ascii="Arial" w:hAnsi="Arial" w:cs="Arial"/>
              </w:rPr>
            </w:pPr>
            <w:r w:rsidRPr="00165533">
              <w:rPr>
                <w:rFonts w:ascii="Arial" w:hAnsi="Arial" w:cs="Arial"/>
              </w:rPr>
              <w:t>Met</w:t>
            </w:r>
          </w:p>
        </w:tc>
      </w:tr>
      <w:tr w:rsidR="00E2148E" w:rsidRPr="00165533" w14:paraId="04F88B22" w14:textId="77777777" w:rsidTr="477A49B1">
        <w:trPr>
          <w:gridAfter w:val="1"/>
          <w:wAfter w:w="448" w:type="dxa"/>
        </w:trPr>
        <w:tc>
          <w:tcPr>
            <w:tcW w:w="4508" w:type="dxa"/>
          </w:tcPr>
          <w:p w14:paraId="4D317635" w14:textId="77777777" w:rsidR="00E2148E" w:rsidRPr="00165533" w:rsidRDefault="00E2148E">
            <w:pPr>
              <w:jc w:val="center"/>
              <w:rPr>
                <w:rFonts w:ascii="Arial" w:hAnsi="Arial" w:cs="Arial"/>
              </w:rPr>
            </w:pPr>
            <w:r w:rsidRPr="00165533">
              <w:rPr>
                <w:rFonts w:ascii="Arial" w:hAnsi="Arial" w:cs="Arial"/>
              </w:rPr>
              <w:t>12</w:t>
            </w:r>
          </w:p>
          <w:p w14:paraId="7D90BD78" w14:textId="77777777" w:rsidR="00E2148E" w:rsidRPr="00165533" w:rsidRDefault="00E2148E">
            <w:pPr>
              <w:jc w:val="center"/>
              <w:rPr>
                <w:rFonts w:ascii="Arial" w:hAnsi="Arial" w:cs="Arial"/>
              </w:rPr>
            </w:pPr>
          </w:p>
        </w:tc>
        <w:tc>
          <w:tcPr>
            <w:tcW w:w="4508" w:type="dxa"/>
          </w:tcPr>
          <w:p w14:paraId="34C1AC37" w14:textId="11015ED7" w:rsidR="00E2148E" w:rsidRPr="00165533" w:rsidRDefault="009E1AE5" w:rsidP="00143716">
            <w:pPr>
              <w:jc w:val="center"/>
              <w:rPr>
                <w:rFonts w:ascii="Arial" w:hAnsi="Arial" w:cs="Arial"/>
              </w:rPr>
            </w:pPr>
            <w:r w:rsidRPr="00165533">
              <w:rPr>
                <w:rFonts w:ascii="Arial" w:hAnsi="Arial" w:cs="Arial"/>
              </w:rPr>
              <w:t>Met</w:t>
            </w:r>
          </w:p>
        </w:tc>
      </w:tr>
      <w:tr w:rsidR="00E2148E" w:rsidRPr="00165533" w14:paraId="2DE8AB71" w14:textId="77777777" w:rsidTr="477A49B1">
        <w:trPr>
          <w:gridAfter w:val="1"/>
          <w:wAfter w:w="448" w:type="dxa"/>
        </w:trPr>
        <w:tc>
          <w:tcPr>
            <w:tcW w:w="9016" w:type="dxa"/>
            <w:gridSpan w:val="2"/>
            <w:shd w:val="clear" w:color="auto" w:fill="D9D9D9" w:themeFill="background1" w:themeFillShade="D9"/>
          </w:tcPr>
          <w:p w14:paraId="4DFE3FF6" w14:textId="77777777" w:rsidR="00E2148E" w:rsidRPr="00165533" w:rsidRDefault="00E2148E">
            <w:pPr>
              <w:jc w:val="center"/>
              <w:rPr>
                <w:rFonts w:ascii="Arial" w:hAnsi="Arial" w:cs="Arial"/>
                <w:b/>
              </w:rPr>
            </w:pPr>
            <w:r w:rsidRPr="00165533">
              <w:rPr>
                <w:rFonts w:ascii="Arial" w:hAnsi="Arial" w:cs="Arial"/>
                <w:b/>
                <w:sz w:val="24"/>
                <w:szCs w:val="24"/>
              </w:rPr>
              <w:t>Standard Three</w:t>
            </w:r>
          </w:p>
        </w:tc>
      </w:tr>
      <w:tr w:rsidR="00E2148E" w:rsidRPr="00165533" w14:paraId="7EE705D5" w14:textId="77777777" w:rsidTr="477A49B1">
        <w:trPr>
          <w:gridAfter w:val="1"/>
          <w:wAfter w:w="448" w:type="dxa"/>
        </w:trPr>
        <w:tc>
          <w:tcPr>
            <w:tcW w:w="4508" w:type="dxa"/>
          </w:tcPr>
          <w:p w14:paraId="5205D72E" w14:textId="77777777" w:rsidR="00E2148E" w:rsidRPr="00165533" w:rsidRDefault="00E2148E">
            <w:pPr>
              <w:jc w:val="center"/>
              <w:rPr>
                <w:rFonts w:ascii="Arial" w:hAnsi="Arial" w:cs="Arial"/>
              </w:rPr>
            </w:pPr>
            <w:r w:rsidRPr="00165533">
              <w:rPr>
                <w:rFonts w:ascii="Arial" w:hAnsi="Arial" w:cs="Arial"/>
              </w:rPr>
              <w:t>13</w:t>
            </w:r>
          </w:p>
          <w:p w14:paraId="451CE457" w14:textId="77777777" w:rsidR="00E2148E" w:rsidRPr="00165533" w:rsidRDefault="00E2148E">
            <w:pPr>
              <w:jc w:val="center"/>
              <w:rPr>
                <w:rFonts w:ascii="Arial" w:hAnsi="Arial" w:cs="Arial"/>
              </w:rPr>
            </w:pPr>
          </w:p>
        </w:tc>
        <w:tc>
          <w:tcPr>
            <w:tcW w:w="4508" w:type="dxa"/>
          </w:tcPr>
          <w:p w14:paraId="0070B547" w14:textId="74758487" w:rsidR="00E2148E" w:rsidRPr="00165533" w:rsidRDefault="00D678C5" w:rsidP="00143716">
            <w:pPr>
              <w:jc w:val="center"/>
              <w:rPr>
                <w:rFonts w:ascii="Arial" w:hAnsi="Arial" w:cs="Arial"/>
              </w:rPr>
            </w:pPr>
            <w:r w:rsidRPr="00165533">
              <w:rPr>
                <w:rFonts w:ascii="Arial" w:hAnsi="Arial" w:cs="Arial"/>
              </w:rPr>
              <w:t>Met</w:t>
            </w:r>
          </w:p>
        </w:tc>
      </w:tr>
      <w:tr w:rsidR="00E2148E" w:rsidRPr="00165533" w14:paraId="50B2804A" w14:textId="77777777" w:rsidTr="477A49B1">
        <w:trPr>
          <w:gridAfter w:val="1"/>
          <w:wAfter w:w="448" w:type="dxa"/>
        </w:trPr>
        <w:tc>
          <w:tcPr>
            <w:tcW w:w="4508" w:type="dxa"/>
          </w:tcPr>
          <w:p w14:paraId="7FD7C08D" w14:textId="77777777" w:rsidR="00E2148E" w:rsidRPr="00165533" w:rsidRDefault="00E2148E">
            <w:pPr>
              <w:jc w:val="center"/>
              <w:rPr>
                <w:rFonts w:ascii="Arial" w:hAnsi="Arial" w:cs="Arial"/>
              </w:rPr>
            </w:pPr>
            <w:r w:rsidRPr="00165533">
              <w:rPr>
                <w:rFonts w:ascii="Arial" w:hAnsi="Arial" w:cs="Arial"/>
              </w:rPr>
              <w:t>14</w:t>
            </w:r>
          </w:p>
          <w:p w14:paraId="1302D67D" w14:textId="77777777" w:rsidR="00E2148E" w:rsidRPr="00165533" w:rsidRDefault="00E2148E">
            <w:pPr>
              <w:jc w:val="center"/>
              <w:rPr>
                <w:rFonts w:ascii="Arial" w:hAnsi="Arial" w:cs="Arial"/>
              </w:rPr>
            </w:pPr>
          </w:p>
        </w:tc>
        <w:tc>
          <w:tcPr>
            <w:tcW w:w="4508" w:type="dxa"/>
          </w:tcPr>
          <w:p w14:paraId="6EEB3739" w14:textId="1C1EA37F" w:rsidR="00E2148E" w:rsidRPr="00165533" w:rsidRDefault="00D678C5" w:rsidP="00143716">
            <w:pPr>
              <w:jc w:val="center"/>
              <w:rPr>
                <w:rFonts w:ascii="Arial" w:hAnsi="Arial" w:cs="Arial"/>
              </w:rPr>
            </w:pPr>
            <w:r w:rsidRPr="00165533">
              <w:rPr>
                <w:rFonts w:ascii="Arial" w:hAnsi="Arial" w:cs="Arial"/>
              </w:rPr>
              <w:t>Met</w:t>
            </w:r>
          </w:p>
        </w:tc>
      </w:tr>
      <w:tr w:rsidR="00E2148E" w:rsidRPr="00165533" w14:paraId="6E7B07FC" w14:textId="77777777" w:rsidTr="477A49B1">
        <w:trPr>
          <w:gridAfter w:val="1"/>
          <w:wAfter w:w="448" w:type="dxa"/>
        </w:trPr>
        <w:tc>
          <w:tcPr>
            <w:tcW w:w="4508" w:type="dxa"/>
          </w:tcPr>
          <w:p w14:paraId="6AF07703" w14:textId="77777777" w:rsidR="00E2148E" w:rsidRPr="00165533" w:rsidRDefault="00E2148E">
            <w:pPr>
              <w:jc w:val="center"/>
              <w:rPr>
                <w:rFonts w:ascii="Arial" w:hAnsi="Arial" w:cs="Arial"/>
              </w:rPr>
            </w:pPr>
            <w:r w:rsidRPr="00165533">
              <w:rPr>
                <w:rFonts w:ascii="Arial" w:hAnsi="Arial" w:cs="Arial"/>
              </w:rPr>
              <w:t>15</w:t>
            </w:r>
          </w:p>
          <w:p w14:paraId="2612B004" w14:textId="77777777" w:rsidR="00E2148E" w:rsidRPr="00165533" w:rsidRDefault="00E2148E">
            <w:pPr>
              <w:jc w:val="center"/>
              <w:rPr>
                <w:rFonts w:ascii="Arial" w:hAnsi="Arial" w:cs="Arial"/>
              </w:rPr>
            </w:pPr>
          </w:p>
        </w:tc>
        <w:tc>
          <w:tcPr>
            <w:tcW w:w="4508" w:type="dxa"/>
          </w:tcPr>
          <w:p w14:paraId="35F76218" w14:textId="77A8F252" w:rsidR="00E2148E" w:rsidRPr="00165533" w:rsidRDefault="00D317EA" w:rsidP="00143716">
            <w:pPr>
              <w:jc w:val="center"/>
              <w:rPr>
                <w:rFonts w:ascii="Arial" w:hAnsi="Arial" w:cs="Arial"/>
              </w:rPr>
            </w:pPr>
            <w:r w:rsidRPr="00165533">
              <w:rPr>
                <w:rFonts w:ascii="Arial" w:hAnsi="Arial" w:cs="Arial"/>
              </w:rPr>
              <w:t>Part</w:t>
            </w:r>
            <w:r w:rsidR="00F24288" w:rsidRPr="00165533">
              <w:rPr>
                <w:rFonts w:ascii="Arial" w:hAnsi="Arial" w:cs="Arial"/>
              </w:rPr>
              <w:t>ly</w:t>
            </w:r>
            <w:r w:rsidRPr="00165533">
              <w:rPr>
                <w:rFonts w:ascii="Arial" w:hAnsi="Arial" w:cs="Arial"/>
              </w:rPr>
              <w:t xml:space="preserve"> </w:t>
            </w:r>
            <w:r w:rsidR="00D678C5" w:rsidRPr="00165533">
              <w:rPr>
                <w:rFonts w:ascii="Arial" w:hAnsi="Arial" w:cs="Arial"/>
              </w:rPr>
              <w:t>Met</w:t>
            </w:r>
          </w:p>
        </w:tc>
      </w:tr>
      <w:tr w:rsidR="00E2148E" w:rsidRPr="00165533" w14:paraId="702A3C4A" w14:textId="77777777" w:rsidTr="477A49B1">
        <w:trPr>
          <w:gridAfter w:val="1"/>
          <w:wAfter w:w="448" w:type="dxa"/>
        </w:trPr>
        <w:tc>
          <w:tcPr>
            <w:tcW w:w="4508" w:type="dxa"/>
          </w:tcPr>
          <w:p w14:paraId="00EE4384" w14:textId="77777777" w:rsidR="00E2148E" w:rsidRPr="00165533" w:rsidRDefault="00E2148E">
            <w:pPr>
              <w:jc w:val="center"/>
              <w:rPr>
                <w:rFonts w:ascii="Arial" w:hAnsi="Arial" w:cs="Arial"/>
              </w:rPr>
            </w:pPr>
            <w:r w:rsidRPr="00165533">
              <w:rPr>
                <w:rFonts w:ascii="Arial" w:hAnsi="Arial" w:cs="Arial"/>
              </w:rPr>
              <w:t>16</w:t>
            </w:r>
          </w:p>
          <w:p w14:paraId="4FA0C0E5" w14:textId="77777777" w:rsidR="00E2148E" w:rsidRPr="00165533" w:rsidRDefault="00E2148E">
            <w:pPr>
              <w:jc w:val="center"/>
              <w:rPr>
                <w:rFonts w:ascii="Arial" w:hAnsi="Arial" w:cs="Arial"/>
              </w:rPr>
            </w:pPr>
          </w:p>
        </w:tc>
        <w:tc>
          <w:tcPr>
            <w:tcW w:w="4508" w:type="dxa"/>
          </w:tcPr>
          <w:p w14:paraId="6514F5E5" w14:textId="7C5EEF2A" w:rsidR="00E2148E" w:rsidRPr="00165533" w:rsidRDefault="00D678C5" w:rsidP="00143716">
            <w:pPr>
              <w:jc w:val="center"/>
              <w:rPr>
                <w:rFonts w:ascii="Arial" w:hAnsi="Arial" w:cs="Arial"/>
              </w:rPr>
            </w:pPr>
            <w:r w:rsidRPr="00165533">
              <w:rPr>
                <w:rFonts w:ascii="Arial" w:hAnsi="Arial" w:cs="Arial"/>
              </w:rPr>
              <w:t>Met</w:t>
            </w:r>
          </w:p>
        </w:tc>
      </w:tr>
      <w:tr w:rsidR="00E2148E" w:rsidRPr="00165533" w14:paraId="7C167230" w14:textId="77777777" w:rsidTr="477A49B1">
        <w:trPr>
          <w:gridAfter w:val="1"/>
          <w:wAfter w:w="448" w:type="dxa"/>
        </w:trPr>
        <w:tc>
          <w:tcPr>
            <w:tcW w:w="4508" w:type="dxa"/>
          </w:tcPr>
          <w:p w14:paraId="1F57C484" w14:textId="77777777" w:rsidR="00E2148E" w:rsidRPr="00165533" w:rsidRDefault="00E2148E">
            <w:pPr>
              <w:jc w:val="center"/>
              <w:rPr>
                <w:rFonts w:ascii="Arial" w:hAnsi="Arial" w:cs="Arial"/>
              </w:rPr>
            </w:pPr>
            <w:r w:rsidRPr="00165533">
              <w:rPr>
                <w:rFonts w:ascii="Arial" w:hAnsi="Arial" w:cs="Arial"/>
              </w:rPr>
              <w:t>17</w:t>
            </w:r>
          </w:p>
          <w:p w14:paraId="051AC982" w14:textId="77777777" w:rsidR="00E2148E" w:rsidRPr="00165533" w:rsidRDefault="00E2148E">
            <w:pPr>
              <w:jc w:val="center"/>
              <w:rPr>
                <w:rFonts w:ascii="Arial" w:hAnsi="Arial" w:cs="Arial"/>
              </w:rPr>
            </w:pPr>
          </w:p>
        </w:tc>
        <w:tc>
          <w:tcPr>
            <w:tcW w:w="4508" w:type="dxa"/>
          </w:tcPr>
          <w:p w14:paraId="6FB133A0" w14:textId="5873F0CA" w:rsidR="00E2148E" w:rsidRPr="00165533" w:rsidRDefault="00D678C5" w:rsidP="00143716">
            <w:pPr>
              <w:jc w:val="center"/>
              <w:rPr>
                <w:rFonts w:ascii="Arial" w:hAnsi="Arial" w:cs="Arial"/>
              </w:rPr>
            </w:pPr>
            <w:r w:rsidRPr="00165533">
              <w:rPr>
                <w:rFonts w:ascii="Arial" w:hAnsi="Arial" w:cs="Arial"/>
              </w:rPr>
              <w:t>Met</w:t>
            </w:r>
          </w:p>
        </w:tc>
      </w:tr>
      <w:tr w:rsidR="00E2148E" w:rsidRPr="00165533" w14:paraId="67E579D5" w14:textId="77777777" w:rsidTr="477A49B1">
        <w:trPr>
          <w:gridAfter w:val="1"/>
          <w:wAfter w:w="448" w:type="dxa"/>
        </w:trPr>
        <w:tc>
          <w:tcPr>
            <w:tcW w:w="4508" w:type="dxa"/>
          </w:tcPr>
          <w:p w14:paraId="04279F64" w14:textId="77777777" w:rsidR="00E2148E" w:rsidRPr="00165533" w:rsidRDefault="00E2148E">
            <w:pPr>
              <w:jc w:val="center"/>
              <w:rPr>
                <w:rFonts w:ascii="Arial" w:hAnsi="Arial" w:cs="Arial"/>
              </w:rPr>
            </w:pPr>
            <w:r w:rsidRPr="00165533">
              <w:rPr>
                <w:rFonts w:ascii="Arial" w:hAnsi="Arial" w:cs="Arial"/>
              </w:rPr>
              <w:t>18</w:t>
            </w:r>
          </w:p>
          <w:p w14:paraId="7F1A6DDB" w14:textId="77777777" w:rsidR="00E2148E" w:rsidRPr="00165533" w:rsidRDefault="00E2148E">
            <w:pPr>
              <w:jc w:val="center"/>
              <w:rPr>
                <w:rFonts w:ascii="Arial" w:hAnsi="Arial" w:cs="Arial"/>
              </w:rPr>
            </w:pPr>
          </w:p>
        </w:tc>
        <w:tc>
          <w:tcPr>
            <w:tcW w:w="4508" w:type="dxa"/>
          </w:tcPr>
          <w:p w14:paraId="33F5630B" w14:textId="4D71B9C9" w:rsidR="00E2148E" w:rsidRPr="00165533" w:rsidRDefault="00D678C5" w:rsidP="00143716">
            <w:pPr>
              <w:jc w:val="center"/>
              <w:rPr>
                <w:rFonts w:ascii="Arial" w:hAnsi="Arial" w:cs="Arial"/>
              </w:rPr>
            </w:pPr>
            <w:r w:rsidRPr="00165533">
              <w:rPr>
                <w:rFonts w:ascii="Arial" w:hAnsi="Arial" w:cs="Arial"/>
              </w:rPr>
              <w:t>Met</w:t>
            </w:r>
          </w:p>
        </w:tc>
      </w:tr>
      <w:tr w:rsidR="00E2148E" w:rsidRPr="00165533" w14:paraId="245C142C" w14:textId="77777777" w:rsidTr="477A49B1">
        <w:trPr>
          <w:gridAfter w:val="1"/>
          <w:wAfter w:w="448" w:type="dxa"/>
        </w:trPr>
        <w:tc>
          <w:tcPr>
            <w:tcW w:w="4508" w:type="dxa"/>
          </w:tcPr>
          <w:p w14:paraId="697FBC3D" w14:textId="77777777" w:rsidR="00E2148E" w:rsidRPr="00165533" w:rsidRDefault="00E2148E">
            <w:pPr>
              <w:jc w:val="center"/>
              <w:rPr>
                <w:rFonts w:ascii="Arial" w:hAnsi="Arial" w:cs="Arial"/>
              </w:rPr>
            </w:pPr>
            <w:r w:rsidRPr="00165533">
              <w:rPr>
                <w:rFonts w:ascii="Arial" w:hAnsi="Arial" w:cs="Arial"/>
              </w:rPr>
              <w:t>19</w:t>
            </w:r>
          </w:p>
          <w:p w14:paraId="64656486" w14:textId="77777777" w:rsidR="00E2148E" w:rsidRPr="00165533" w:rsidRDefault="00E2148E">
            <w:pPr>
              <w:jc w:val="center"/>
              <w:rPr>
                <w:rFonts w:ascii="Arial" w:hAnsi="Arial" w:cs="Arial"/>
              </w:rPr>
            </w:pPr>
          </w:p>
        </w:tc>
        <w:tc>
          <w:tcPr>
            <w:tcW w:w="4508" w:type="dxa"/>
          </w:tcPr>
          <w:p w14:paraId="20CE45E5" w14:textId="42681B1F" w:rsidR="00E2148E" w:rsidRPr="00165533" w:rsidRDefault="00D678C5" w:rsidP="00143716">
            <w:pPr>
              <w:jc w:val="center"/>
              <w:rPr>
                <w:rFonts w:ascii="Arial" w:hAnsi="Arial" w:cs="Arial"/>
              </w:rPr>
            </w:pPr>
            <w:r w:rsidRPr="00165533">
              <w:rPr>
                <w:rFonts w:ascii="Arial" w:hAnsi="Arial" w:cs="Arial"/>
              </w:rPr>
              <w:t>Met</w:t>
            </w:r>
          </w:p>
        </w:tc>
      </w:tr>
      <w:tr w:rsidR="00E2148E" w:rsidRPr="00165533" w14:paraId="6A8BD8CB" w14:textId="77777777" w:rsidTr="477A49B1">
        <w:trPr>
          <w:gridAfter w:val="1"/>
          <w:wAfter w:w="448" w:type="dxa"/>
        </w:trPr>
        <w:tc>
          <w:tcPr>
            <w:tcW w:w="4508" w:type="dxa"/>
          </w:tcPr>
          <w:p w14:paraId="7B7E9560" w14:textId="77777777" w:rsidR="00E2148E" w:rsidRPr="00165533" w:rsidRDefault="00E2148E">
            <w:pPr>
              <w:jc w:val="center"/>
              <w:rPr>
                <w:rFonts w:ascii="Arial" w:hAnsi="Arial" w:cs="Arial"/>
              </w:rPr>
            </w:pPr>
            <w:r w:rsidRPr="00165533">
              <w:rPr>
                <w:rFonts w:ascii="Arial" w:hAnsi="Arial" w:cs="Arial"/>
              </w:rPr>
              <w:t>20</w:t>
            </w:r>
          </w:p>
          <w:p w14:paraId="42358953" w14:textId="77777777" w:rsidR="00E2148E" w:rsidRPr="00165533" w:rsidRDefault="00E2148E">
            <w:pPr>
              <w:jc w:val="center"/>
              <w:rPr>
                <w:rFonts w:ascii="Arial" w:hAnsi="Arial" w:cs="Arial"/>
              </w:rPr>
            </w:pPr>
          </w:p>
        </w:tc>
        <w:tc>
          <w:tcPr>
            <w:tcW w:w="4508" w:type="dxa"/>
          </w:tcPr>
          <w:p w14:paraId="1AE1FBF6" w14:textId="1AE43EBC" w:rsidR="00E2148E" w:rsidRPr="00165533" w:rsidRDefault="00D678C5" w:rsidP="00143716">
            <w:pPr>
              <w:jc w:val="center"/>
              <w:rPr>
                <w:rFonts w:ascii="Arial" w:hAnsi="Arial" w:cs="Arial"/>
              </w:rPr>
            </w:pPr>
            <w:r w:rsidRPr="00165533">
              <w:rPr>
                <w:rFonts w:ascii="Arial" w:hAnsi="Arial" w:cs="Arial"/>
              </w:rPr>
              <w:t>Met</w:t>
            </w:r>
          </w:p>
        </w:tc>
      </w:tr>
      <w:tr w:rsidR="00E2148E" w:rsidRPr="00165533" w14:paraId="1CD3FBFF" w14:textId="77777777" w:rsidTr="477A49B1">
        <w:trPr>
          <w:gridAfter w:val="1"/>
          <w:wAfter w:w="448" w:type="dxa"/>
        </w:trPr>
        <w:tc>
          <w:tcPr>
            <w:tcW w:w="4508" w:type="dxa"/>
          </w:tcPr>
          <w:p w14:paraId="1208C814" w14:textId="77777777" w:rsidR="00E2148E" w:rsidRPr="00165533" w:rsidRDefault="00E2148E">
            <w:pPr>
              <w:jc w:val="center"/>
              <w:rPr>
                <w:rFonts w:ascii="Arial" w:hAnsi="Arial" w:cs="Arial"/>
              </w:rPr>
            </w:pPr>
            <w:r w:rsidRPr="00165533">
              <w:rPr>
                <w:rFonts w:ascii="Arial" w:hAnsi="Arial" w:cs="Arial"/>
              </w:rPr>
              <w:t>21</w:t>
            </w:r>
          </w:p>
          <w:p w14:paraId="75F0630E" w14:textId="77777777" w:rsidR="00E2148E" w:rsidRPr="00165533" w:rsidRDefault="00E2148E">
            <w:pPr>
              <w:jc w:val="center"/>
              <w:rPr>
                <w:rFonts w:ascii="Arial" w:hAnsi="Arial" w:cs="Arial"/>
              </w:rPr>
            </w:pPr>
          </w:p>
        </w:tc>
        <w:tc>
          <w:tcPr>
            <w:tcW w:w="4508" w:type="dxa"/>
          </w:tcPr>
          <w:p w14:paraId="22150E58" w14:textId="6068C18F" w:rsidR="00E2148E" w:rsidRPr="00165533" w:rsidRDefault="00D678C5" w:rsidP="00143716">
            <w:pPr>
              <w:jc w:val="center"/>
              <w:rPr>
                <w:rFonts w:ascii="Arial" w:hAnsi="Arial" w:cs="Arial"/>
              </w:rPr>
            </w:pPr>
            <w:r w:rsidRPr="00165533">
              <w:rPr>
                <w:rFonts w:ascii="Arial" w:hAnsi="Arial" w:cs="Arial"/>
              </w:rPr>
              <w:t>Met</w:t>
            </w:r>
          </w:p>
        </w:tc>
      </w:tr>
      <w:tr w:rsidR="00E2148E" w:rsidRPr="00165533" w14:paraId="5CBB5D8F" w14:textId="77777777" w:rsidTr="477A49B1">
        <w:tc>
          <w:tcPr>
            <w:tcW w:w="9464" w:type="dxa"/>
            <w:gridSpan w:val="3"/>
            <w:shd w:val="clear" w:color="auto" w:fill="2F5496" w:themeFill="accent1" w:themeFillShade="BF"/>
          </w:tcPr>
          <w:p w14:paraId="0F9F5CAD" w14:textId="77777777" w:rsidR="005236DF" w:rsidRPr="00165533" w:rsidRDefault="005236DF">
            <w:pPr>
              <w:rPr>
                <w:rFonts w:ascii="Arial" w:hAnsi="Arial" w:cs="Arial"/>
                <w:bCs/>
                <w:color w:val="FFFFFF" w:themeColor="background1"/>
                <w:sz w:val="24"/>
                <w:szCs w:val="24"/>
              </w:rPr>
            </w:pPr>
          </w:p>
          <w:p w14:paraId="6B5C6D76" w14:textId="416660E1" w:rsidR="00E2148E" w:rsidRPr="00165533" w:rsidRDefault="00E2148E">
            <w:pPr>
              <w:rPr>
                <w:rFonts w:ascii="Arial" w:hAnsi="Arial" w:cs="Arial"/>
                <w:b/>
                <w:color w:val="FFFFFF" w:themeColor="background1"/>
                <w:sz w:val="24"/>
                <w:szCs w:val="24"/>
              </w:rPr>
            </w:pPr>
            <w:r w:rsidRPr="00165533">
              <w:rPr>
                <w:rFonts w:ascii="Arial" w:hAnsi="Arial" w:cs="Arial"/>
                <w:b/>
                <w:color w:val="FFFFFF" w:themeColor="background1"/>
                <w:sz w:val="24"/>
                <w:szCs w:val="24"/>
              </w:rPr>
              <w:t xml:space="preserve">Standard 1 – Protecting patients </w:t>
            </w:r>
          </w:p>
          <w:p w14:paraId="438D9695" w14:textId="77777777" w:rsidR="00E2148E" w:rsidRPr="00165533" w:rsidRDefault="00E2148E">
            <w:pPr>
              <w:rPr>
                <w:rFonts w:ascii="Arial" w:eastAsia="Calibri" w:hAnsi="Arial" w:cs="Arial"/>
                <w:bCs/>
                <w:color w:val="FFFFFF" w:themeColor="background1"/>
                <w:sz w:val="24"/>
                <w:szCs w:val="24"/>
              </w:rPr>
            </w:pPr>
            <w:r w:rsidRPr="00165533">
              <w:rPr>
                <w:rFonts w:ascii="Arial" w:eastAsia="Calibri" w:hAnsi="Arial" w:cs="Arial"/>
                <w:bCs/>
                <w:color w:val="FFFFFF" w:themeColor="background1"/>
                <w:sz w:val="24"/>
                <w:szCs w:val="24"/>
              </w:rPr>
              <w:t xml:space="preserve">Providers must be aware of their duty to protect the public.  Providers must ensure that patient safety is </w:t>
            </w:r>
            <w:r w:rsidR="00241C5B" w:rsidRPr="00165533">
              <w:rPr>
                <w:rFonts w:ascii="Arial" w:eastAsia="Calibri" w:hAnsi="Arial" w:cs="Arial"/>
                <w:bCs/>
                <w:color w:val="FFFFFF" w:themeColor="background1"/>
                <w:sz w:val="24"/>
                <w:szCs w:val="24"/>
              </w:rPr>
              <w:t>paramount,</w:t>
            </w:r>
            <w:r w:rsidRPr="00165533">
              <w:rPr>
                <w:rFonts w:ascii="Arial" w:eastAsia="Calibri" w:hAnsi="Arial" w:cs="Arial"/>
                <w:bCs/>
                <w:color w:val="FFFFFF" w:themeColor="background1"/>
                <w:sz w:val="24"/>
                <w:szCs w:val="24"/>
              </w:rPr>
              <w:t xml:space="preserve"> and care of patients is of an appropriate standard. Any risk to the safety of patients and their care by students must be minimised.</w:t>
            </w:r>
          </w:p>
          <w:p w14:paraId="53E03E1A" w14:textId="11111E9A" w:rsidR="005236DF" w:rsidRPr="00165533" w:rsidRDefault="005236DF">
            <w:pPr>
              <w:rPr>
                <w:rFonts w:ascii="Arial" w:hAnsi="Arial" w:cs="Arial"/>
                <w:color w:val="FFFFFF" w:themeColor="background1"/>
              </w:rPr>
            </w:pPr>
          </w:p>
        </w:tc>
      </w:tr>
      <w:tr w:rsidR="00E2148E" w:rsidRPr="00A87D96" w14:paraId="5686D0AA" w14:textId="77777777" w:rsidTr="477A49B1">
        <w:trPr>
          <w:trHeight w:val="270"/>
        </w:trPr>
        <w:tc>
          <w:tcPr>
            <w:tcW w:w="9464" w:type="dxa"/>
            <w:gridSpan w:val="3"/>
          </w:tcPr>
          <w:p w14:paraId="1B01294B" w14:textId="77777777" w:rsidR="00E2148E" w:rsidRPr="00A87D96" w:rsidRDefault="00E2148E">
            <w:pPr>
              <w:tabs>
                <w:tab w:val="left" w:pos="720"/>
                <w:tab w:val="left" w:pos="9248"/>
              </w:tabs>
              <w:ind w:right="34"/>
              <w:rPr>
                <w:rFonts w:ascii="Arial" w:eastAsia="Calibri" w:hAnsi="Arial" w:cs="Arial"/>
                <w:b/>
                <w:color w:val="000000" w:themeColor="text1"/>
              </w:rPr>
            </w:pPr>
          </w:p>
          <w:p w14:paraId="3748D1DA" w14:textId="4F7B5382" w:rsidR="00E2148E" w:rsidRPr="00A87D96" w:rsidRDefault="00E2148E">
            <w:pPr>
              <w:tabs>
                <w:tab w:val="left" w:pos="720"/>
                <w:tab w:val="left" w:pos="9248"/>
              </w:tabs>
              <w:ind w:right="34"/>
              <w:rPr>
                <w:rFonts w:ascii="Arial" w:eastAsia="Calibri" w:hAnsi="Arial" w:cs="Arial"/>
                <w:b/>
                <w:i/>
                <w:color w:val="000000" w:themeColor="text1"/>
              </w:rPr>
            </w:pPr>
            <w:r w:rsidRPr="00A87D96">
              <w:rPr>
                <w:rFonts w:ascii="Arial" w:eastAsia="Calibri" w:hAnsi="Arial" w:cs="Arial"/>
                <w:b/>
                <w:color w:val="000000" w:themeColor="text1"/>
              </w:rPr>
              <w:t xml:space="preserve">Requirement 1: Students must provide patient care only when they have demonstrated adequate knowledge and skills. For clinical procedures, the student should be assessed as competent in the relevant skills at the levels required in the pre-clinical environments prior to treating patients. </w:t>
            </w:r>
            <w:r w:rsidR="001C1CB7" w:rsidRPr="00A87D96">
              <w:rPr>
                <w:rFonts w:ascii="Arial" w:eastAsia="Calibri" w:hAnsi="Arial" w:cs="Arial"/>
                <w:b/>
                <w:color w:val="000000" w:themeColor="text1"/>
              </w:rPr>
              <w:t>(</w:t>
            </w:r>
            <w:r w:rsidR="000A6A8E" w:rsidRPr="00A87D96">
              <w:rPr>
                <w:rFonts w:ascii="Arial" w:eastAsia="Calibri" w:hAnsi="Arial" w:cs="Arial"/>
                <w:b/>
                <w:i/>
                <w:color w:val="000000" w:themeColor="text1"/>
              </w:rPr>
              <w:t>Requirement Met</w:t>
            </w:r>
            <w:r w:rsidR="001C1CB7" w:rsidRPr="00A87D96">
              <w:rPr>
                <w:rFonts w:ascii="Arial" w:eastAsia="Calibri" w:hAnsi="Arial" w:cs="Arial"/>
                <w:b/>
                <w:i/>
                <w:color w:val="000000" w:themeColor="text1"/>
              </w:rPr>
              <w:t>)</w:t>
            </w:r>
          </w:p>
          <w:p w14:paraId="379E2849" w14:textId="77777777" w:rsidR="00C74269" w:rsidRPr="00A87D96" w:rsidRDefault="00C74269" w:rsidP="00C74269">
            <w:pPr>
              <w:pStyle w:val="NormalWeb"/>
              <w:contextualSpacing/>
              <w:rPr>
                <w:rFonts w:ascii="Arial" w:hAnsi="Arial" w:cs="Arial"/>
                <w:sz w:val="22"/>
                <w:szCs w:val="22"/>
              </w:rPr>
            </w:pPr>
            <w:r w:rsidRPr="00A87D96">
              <w:rPr>
                <w:rFonts w:ascii="Arial" w:hAnsi="Arial" w:cs="Arial"/>
                <w:sz w:val="22"/>
                <w:szCs w:val="22"/>
              </w:rPr>
              <w:t>Students complete a series of assessments to demonstrate appropriate attitudes, professional behaviour, and preclinical skills. These include summative Gateway Assessments in infection control and year-specific clinical skills, ensuring they are competent and confident before commencing patient care. Student progress is formally reviewed at termly Academic and Professional Progression (APP) panels.</w:t>
            </w:r>
          </w:p>
          <w:p w14:paraId="497C453F" w14:textId="77777777" w:rsidR="00C74269" w:rsidRPr="00A87D96" w:rsidRDefault="00C74269" w:rsidP="00C74269">
            <w:pPr>
              <w:pStyle w:val="NormalWeb"/>
              <w:contextualSpacing/>
              <w:rPr>
                <w:rFonts w:ascii="Arial" w:hAnsi="Arial" w:cs="Arial"/>
                <w:sz w:val="22"/>
                <w:szCs w:val="22"/>
              </w:rPr>
            </w:pPr>
          </w:p>
          <w:p w14:paraId="3F795BBA" w14:textId="77777777" w:rsidR="00C74269" w:rsidRPr="00A87D96" w:rsidRDefault="00C74269" w:rsidP="00C74269">
            <w:pPr>
              <w:pStyle w:val="NormalWeb"/>
              <w:contextualSpacing/>
              <w:rPr>
                <w:rFonts w:ascii="Arial" w:hAnsi="Arial" w:cs="Arial"/>
                <w:sz w:val="22"/>
                <w:szCs w:val="22"/>
              </w:rPr>
            </w:pPr>
            <w:r w:rsidRPr="00A87D96">
              <w:rPr>
                <w:rFonts w:ascii="Arial" w:hAnsi="Arial" w:cs="Arial"/>
                <w:sz w:val="22"/>
                <w:szCs w:val="22"/>
              </w:rPr>
              <w:t>In addition to gateway assessments, students are required to successfully complete multiple summative assessments each academic year.</w:t>
            </w:r>
          </w:p>
          <w:p w14:paraId="2DC0C03E" w14:textId="77777777" w:rsidR="00C74269" w:rsidRPr="00A87D96" w:rsidRDefault="00C74269" w:rsidP="00C74269">
            <w:pPr>
              <w:tabs>
                <w:tab w:val="left" w:pos="720"/>
              </w:tabs>
              <w:ind w:right="5"/>
              <w:contextualSpacing/>
              <w:rPr>
                <w:rFonts w:ascii="Arial" w:eastAsia="Calibri" w:hAnsi="Arial" w:cs="Arial"/>
                <w:color w:val="000000" w:themeColor="text1"/>
              </w:rPr>
            </w:pPr>
            <w:r w:rsidRPr="00A87D96">
              <w:rPr>
                <w:rFonts w:ascii="Arial" w:eastAsia="Calibri" w:hAnsi="Arial" w:cs="Arial"/>
                <w:color w:val="000000" w:themeColor="text1"/>
              </w:rPr>
              <w:t>The panel found the Requirement to be met.</w:t>
            </w:r>
          </w:p>
          <w:p w14:paraId="7FA76345" w14:textId="77777777" w:rsidR="00E2148E" w:rsidRPr="00A87D96" w:rsidRDefault="00E2148E">
            <w:pPr>
              <w:tabs>
                <w:tab w:val="left" w:pos="720"/>
              </w:tabs>
              <w:ind w:right="2789"/>
              <w:rPr>
                <w:rFonts w:ascii="Arial" w:eastAsia="Calibri" w:hAnsi="Arial" w:cs="Arial"/>
                <w:color w:val="000000" w:themeColor="text1"/>
              </w:rPr>
            </w:pPr>
          </w:p>
          <w:p w14:paraId="053DA5B5" w14:textId="1A99F5AC" w:rsidR="00E2148E" w:rsidRPr="00A87D96" w:rsidRDefault="00E2148E">
            <w:pPr>
              <w:tabs>
                <w:tab w:val="left" w:pos="720"/>
                <w:tab w:val="left" w:pos="9214"/>
              </w:tabs>
              <w:ind w:right="176"/>
              <w:rPr>
                <w:rFonts w:ascii="Arial" w:eastAsia="Calibri" w:hAnsi="Arial" w:cs="Arial"/>
                <w:b/>
                <w:i/>
                <w:color w:val="000000" w:themeColor="text1"/>
              </w:rPr>
            </w:pPr>
            <w:r w:rsidRPr="00A87D96">
              <w:rPr>
                <w:rFonts w:ascii="Arial" w:eastAsia="Calibri" w:hAnsi="Arial" w:cs="Arial"/>
                <w:b/>
                <w:color w:val="000000" w:themeColor="text1"/>
              </w:rPr>
              <w:t>Requirement 2: Providers must have systems in place to inform patients that they may be treated by students and the possible implications of this. Patient agreement to treatment by a student must be obtained and recorded prior to treatment commencing.</w:t>
            </w:r>
            <w:r w:rsidR="001C1CB7" w:rsidRPr="00A87D96">
              <w:rPr>
                <w:rFonts w:ascii="Arial" w:eastAsia="Calibri" w:hAnsi="Arial" w:cs="Arial"/>
                <w:b/>
                <w:color w:val="000000" w:themeColor="text1"/>
              </w:rPr>
              <w:t xml:space="preserve"> </w:t>
            </w:r>
            <w:r w:rsidRPr="00A87D96">
              <w:rPr>
                <w:rFonts w:ascii="Arial" w:eastAsia="Calibri" w:hAnsi="Arial" w:cs="Arial"/>
                <w:b/>
                <w:i/>
                <w:color w:val="000000" w:themeColor="text1"/>
              </w:rPr>
              <w:t>(</w:t>
            </w:r>
            <w:r w:rsidR="001C1CB7" w:rsidRPr="00A87D96">
              <w:rPr>
                <w:rFonts w:ascii="Arial" w:eastAsia="Calibri" w:hAnsi="Arial" w:cs="Arial"/>
                <w:b/>
                <w:i/>
                <w:color w:val="000000" w:themeColor="text1"/>
              </w:rPr>
              <w:t>Requirement Met)</w:t>
            </w:r>
          </w:p>
          <w:p w14:paraId="55A42265" w14:textId="77777777" w:rsidR="004B3D1B" w:rsidRPr="00A87D96" w:rsidRDefault="004B3D1B" w:rsidP="004B3D1B">
            <w:pPr>
              <w:pStyle w:val="NormalWeb"/>
              <w:contextualSpacing/>
              <w:rPr>
                <w:rFonts w:ascii="Arial" w:hAnsi="Arial" w:cs="Arial"/>
                <w:sz w:val="22"/>
                <w:szCs w:val="22"/>
              </w:rPr>
            </w:pPr>
            <w:r w:rsidRPr="00A87D96">
              <w:rPr>
                <w:rFonts w:ascii="Arial" w:hAnsi="Arial" w:cs="Arial"/>
                <w:sz w:val="22"/>
                <w:szCs w:val="22"/>
              </w:rPr>
              <w:t>During our tour of the University, we observed that all staff and students were required to wear clearly visible name badges displaying their names and roles. At the start of each consultation, all individuals present were introduced, and their respective roles were clearly explained to the patient. Additionally, staff roles and responsibilities were easily identifiable through differentiated attire, with uniform colours indicating specific roles.</w:t>
            </w:r>
          </w:p>
          <w:p w14:paraId="14C8709C" w14:textId="77777777" w:rsidR="004B3D1B" w:rsidRPr="00A87D96" w:rsidRDefault="004B3D1B" w:rsidP="004B3D1B">
            <w:pPr>
              <w:pStyle w:val="NormalWeb"/>
              <w:contextualSpacing/>
              <w:rPr>
                <w:rFonts w:ascii="Arial" w:hAnsi="Arial" w:cs="Arial"/>
                <w:sz w:val="22"/>
                <w:szCs w:val="22"/>
              </w:rPr>
            </w:pPr>
          </w:p>
          <w:p w14:paraId="6894C412" w14:textId="77777777" w:rsidR="004B3D1B" w:rsidRPr="00A87D96" w:rsidRDefault="004B3D1B" w:rsidP="004B3D1B">
            <w:pPr>
              <w:pStyle w:val="NormalWeb"/>
              <w:contextualSpacing/>
              <w:rPr>
                <w:rFonts w:ascii="Arial" w:hAnsi="Arial" w:cs="Arial"/>
                <w:sz w:val="22"/>
                <w:szCs w:val="22"/>
              </w:rPr>
            </w:pPr>
            <w:r w:rsidRPr="00A87D96">
              <w:rPr>
                <w:rFonts w:ascii="Arial" w:hAnsi="Arial" w:cs="Arial"/>
                <w:sz w:val="22"/>
                <w:szCs w:val="22"/>
              </w:rPr>
              <w:t>Patients were informed via appointment letters that the hospital operates as a teaching facility and that students may participate in their care.</w:t>
            </w:r>
          </w:p>
          <w:p w14:paraId="2E32D79B" w14:textId="77777777" w:rsidR="004B3D1B" w:rsidRPr="00A87D96" w:rsidRDefault="004B3D1B" w:rsidP="004B3D1B">
            <w:pPr>
              <w:pStyle w:val="NormalWeb"/>
              <w:contextualSpacing/>
              <w:rPr>
                <w:rFonts w:ascii="Arial" w:hAnsi="Arial" w:cs="Arial"/>
                <w:sz w:val="22"/>
                <w:szCs w:val="22"/>
              </w:rPr>
            </w:pPr>
          </w:p>
          <w:p w14:paraId="6F8632D1" w14:textId="4D3130E8" w:rsidR="004B3D1B" w:rsidRPr="00A87D96" w:rsidRDefault="004B3D1B" w:rsidP="004B3D1B">
            <w:pPr>
              <w:pStyle w:val="NormalWeb"/>
              <w:contextualSpacing/>
              <w:rPr>
                <w:rFonts w:ascii="Arial" w:hAnsi="Arial" w:cs="Arial"/>
                <w:sz w:val="22"/>
                <w:szCs w:val="22"/>
              </w:rPr>
            </w:pPr>
            <w:r w:rsidRPr="00A87D96">
              <w:rPr>
                <w:rFonts w:ascii="Arial" w:hAnsi="Arial" w:cs="Arial"/>
                <w:sz w:val="22"/>
                <w:szCs w:val="22"/>
              </w:rPr>
              <w:t xml:space="preserve">Patients attending the Dental </w:t>
            </w:r>
            <w:r w:rsidR="2E56DED9" w:rsidRPr="00A87D96">
              <w:rPr>
                <w:rFonts w:ascii="Arial" w:hAnsi="Arial" w:cs="Arial"/>
                <w:sz w:val="22"/>
                <w:szCs w:val="22"/>
              </w:rPr>
              <w:t xml:space="preserve">Education </w:t>
            </w:r>
            <w:r w:rsidRPr="00A87D96">
              <w:rPr>
                <w:rFonts w:ascii="Arial" w:hAnsi="Arial" w:cs="Arial"/>
                <w:sz w:val="22"/>
                <w:szCs w:val="22"/>
              </w:rPr>
              <w:t>Clinic (DEC) or outreach clinics are either self-referred or referred by a consultant, having previously consented to student involvement. Prior to treatment, each patient undergoes a comprehensive clinical assessment and is required to sign both a Treatment Plan Summary and a Consent to Student Treatment form.</w:t>
            </w:r>
          </w:p>
          <w:p w14:paraId="0A587025" w14:textId="77777777" w:rsidR="004B3D1B" w:rsidRPr="00A87D96" w:rsidRDefault="004B3D1B" w:rsidP="004B3D1B">
            <w:pPr>
              <w:tabs>
                <w:tab w:val="left" w:pos="720"/>
              </w:tabs>
              <w:ind w:right="5"/>
              <w:contextualSpacing/>
              <w:rPr>
                <w:rFonts w:ascii="Arial" w:eastAsia="Calibri" w:hAnsi="Arial" w:cs="Arial"/>
                <w:color w:val="000000" w:themeColor="text1"/>
              </w:rPr>
            </w:pPr>
            <w:r w:rsidRPr="00A87D96">
              <w:rPr>
                <w:rFonts w:ascii="Arial" w:eastAsia="Calibri" w:hAnsi="Arial" w:cs="Arial"/>
                <w:color w:val="000000" w:themeColor="text1"/>
              </w:rPr>
              <w:t>The panel found the Requirement to be met.</w:t>
            </w:r>
          </w:p>
          <w:p w14:paraId="6020F6A7" w14:textId="77777777" w:rsidR="001C1CB7" w:rsidRPr="00A87D96" w:rsidRDefault="001C1CB7">
            <w:pPr>
              <w:tabs>
                <w:tab w:val="left" w:pos="720"/>
                <w:tab w:val="left" w:pos="9214"/>
              </w:tabs>
              <w:ind w:right="176"/>
              <w:rPr>
                <w:rFonts w:ascii="Arial" w:hAnsi="Arial" w:cs="Arial"/>
              </w:rPr>
            </w:pPr>
          </w:p>
          <w:p w14:paraId="1AD7F6F9" w14:textId="5D32AB8C" w:rsidR="00E2148E" w:rsidRPr="00A87D96" w:rsidRDefault="00E2148E">
            <w:pPr>
              <w:tabs>
                <w:tab w:val="left" w:pos="720"/>
                <w:tab w:val="left" w:pos="9214"/>
              </w:tabs>
              <w:ind w:right="34"/>
              <w:rPr>
                <w:rFonts w:ascii="Arial" w:eastAsia="Calibri" w:hAnsi="Arial" w:cs="Arial"/>
                <w:b/>
                <w:i/>
                <w:color w:val="000000" w:themeColor="text1"/>
              </w:rPr>
            </w:pPr>
            <w:r w:rsidRPr="00A87D96">
              <w:rPr>
                <w:rFonts w:ascii="Arial" w:eastAsia="Calibri" w:hAnsi="Arial" w:cs="Arial"/>
                <w:b/>
                <w:color w:val="000000" w:themeColor="text1"/>
              </w:rPr>
              <w:t>Requirement 3: Students must only provide patient care in an environment which is safe and appropriate. The provider must comply with relevant legislation and requirements regarding patient care, including equality and diversity, wherever treatment takes place</w:t>
            </w:r>
            <w:r w:rsidR="001C1CB7" w:rsidRPr="00A87D96">
              <w:rPr>
                <w:rFonts w:ascii="Arial" w:eastAsia="Calibri" w:hAnsi="Arial" w:cs="Arial"/>
                <w:b/>
                <w:color w:val="000000" w:themeColor="text1"/>
              </w:rPr>
              <w:t>. (</w:t>
            </w:r>
            <w:r w:rsidR="001C1CB7" w:rsidRPr="00A87D96">
              <w:rPr>
                <w:rFonts w:ascii="Arial" w:eastAsia="Calibri" w:hAnsi="Arial" w:cs="Arial"/>
                <w:b/>
                <w:i/>
                <w:color w:val="000000" w:themeColor="text1"/>
              </w:rPr>
              <w:t>Requirement Met)</w:t>
            </w:r>
          </w:p>
          <w:p w14:paraId="1D764A2F" w14:textId="77777777" w:rsidR="00A326F5" w:rsidRPr="00A87D96" w:rsidRDefault="00A326F5" w:rsidP="00A326F5">
            <w:pPr>
              <w:pStyle w:val="NormalWeb"/>
              <w:rPr>
                <w:rFonts w:ascii="Arial" w:hAnsi="Arial" w:cs="Arial"/>
                <w:sz w:val="22"/>
                <w:szCs w:val="22"/>
              </w:rPr>
            </w:pPr>
            <w:r w:rsidRPr="00A87D96">
              <w:rPr>
                <w:rFonts w:ascii="Arial" w:hAnsi="Arial" w:cs="Arial"/>
                <w:sz w:val="22"/>
                <w:szCs w:val="22"/>
              </w:rPr>
              <w:t xml:space="preserve">Health, safety, wellbeing, and environmental considerations are covered in all staff and student inductions, with ongoing training provided annually. The joint Dental Hospital–University </w:t>
            </w:r>
            <w:r w:rsidRPr="00A87D96">
              <w:rPr>
                <w:rFonts w:ascii="Arial" w:hAnsi="Arial" w:cs="Arial"/>
                <w:sz w:val="22"/>
                <w:szCs w:val="22"/>
              </w:rPr>
              <w:lastRenderedPageBreak/>
              <w:t>Occupational Health and Safety Advisory Group (OHSAG) meets quarterly, and Health and Safety is a standing item on key governance committees.</w:t>
            </w:r>
          </w:p>
          <w:p w14:paraId="5E08B42E" w14:textId="77777777" w:rsidR="00A326F5" w:rsidRPr="00A87D96" w:rsidRDefault="00A326F5" w:rsidP="00A326F5">
            <w:pPr>
              <w:pStyle w:val="NormalWeb"/>
              <w:rPr>
                <w:rFonts w:ascii="Arial" w:hAnsi="Arial" w:cs="Arial"/>
                <w:sz w:val="22"/>
                <w:szCs w:val="22"/>
              </w:rPr>
            </w:pPr>
            <w:r w:rsidRPr="00A87D96">
              <w:rPr>
                <w:rFonts w:ascii="Arial" w:hAnsi="Arial" w:cs="Arial"/>
                <w:sz w:val="22"/>
                <w:szCs w:val="22"/>
              </w:rPr>
              <w:t>The University Dental Hospital undergoes regular internal and external audits. A full range of clinical policies was available and reviewed by the panel. The School has also established the Wellbeing, Inclusivity, Diversity, Equity, and Respect (WIDER) Committee to lead and support EDI initiatives.</w:t>
            </w:r>
          </w:p>
          <w:p w14:paraId="0EF53104" w14:textId="77777777" w:rsidR="00A326F5" w:rsidRPr="00A87D96" w:rsidRDefault="00A326F5" w:rsidP="00A326F5">
            <w:pPr>
              <w:pStyle w:val="NormalWeb"/>
              <w:rPr>
                <w:rFonts w:ascii="Arial" w:hAnsi="Arial" w:cs="Arial"/>
                <w:sz w:val="22"/>
                <w:szCs w:val="22"/>
              </w:rPr>
            </w:pPr>
            <w:r w:rsidRPr="00A87D96">
              <w:rPr>
                <w:rFonts w:ascii="Arial" w:hAnsi="Arial" w:cs="Arial"/>
                <w:sz w:val="22"/>
                <w:szCs w:val="22"/>
              </w:rPr>
              <w:t>Patients attending Dental Education Clinics (DECs) are screened to ensure their treatment needs are appropriate for student care. Clinical supervision is guided by the School of Dentistry’s Clinical Supervision Policy, ensuring safe and appropriate oversight. All clinic staff are GDC-registered and complete a structured induction.</w:t>
            </w:r>
          </w:p>
          <w:p w14:paraId="6F6613EF" w14:textId="77777777" w:rsidR="00A326F5" w:rsidRPr="00A87D96" w:rsidRDefault="00A326F5" w:rsidP="00A326F5">
            <w:pPr>
              <w:pStyle w:val="NormalWeb"/>
              <w:rPr>
                <w:rFonts w:ascii="Arial" w:hAnsi="Arial" w:cs="Arial"/>
                <w:sz w:val="22"/>
                <w:szCs w:val="22"/>
              </w:rPr>
            </w:pPr>
            <w:r w:rsidRPr="00A87D96">
              <w:rPr>
                <w:rFonts w:ascii="Arial" w:hAnsi="Arial" w:cs="Arial"/>
                <w:sz w:val="22"/>
                <w:szCs w:val="22"/>
              </w:rPr>
              <w:t>Patient feedback is collected via QR codes displayed in the hospital and analysed by the Health Board Patient Experience team.</w:t>
            </w:r>
          </w:p>
          <w:p w14:paraId="3A179B7B" w14:textId="77777777" w:rsidR="00A326F5" w:rsidRPr="00A87D96" w:rsidRDefault="00A326F5" w:rsidP="00A326F5">
            <w:pPr>
              <w:tabs>
                <w:tab w:val="left" w:pos="720"/>
              </w:tabs>
              <w:ind w:right="5"/>
              <w:contextualSpacing/>
              <w:rPr>
                <w:rFonts w:ascii="Arial" w:eastAsia="Calibri" w:hAnsi="Arial" w:cs="Arial"/>
                <w:color w:val="000000" w:themeColor="text1"/>
              </w:rPr>
            </w:pPr>
            <w:r w:rsidRPr="00A87D96">
              <w:rPr>
                <w:rFonts w:ascii="Arial" w:eastAsia="Calibri" w:hAnsi="Arial" w:cs="Arial"/>
                <w:color w:val="000000" w:themeColor="text1"/>
              </w:rPr>
              <w:t>The panel found the Requirement to be met.</w:t>
            </w:r>
          </w:p>
          <w:p w14:paraId="79B38032" w14:textId="77777777" w:rsidR="00E2148E" w:rsidRPr="00A87D96" w:rsidRDefault="00E2148E" w:rsidP="00A326F5">
            <w:pPr>
              <w:tabs>
                <w:tab w:val="left" w:pos="720"/>
                <w:tab w:val="left" w:pos="9214"/>
              </w:tabs>
              <w:ind w:right="2789"/>
              <w:rPr>
                <w:rFonts w:ascii="Arial" w:eastAsia="Calibri" w:hAnsi="Arial" w:cs="Arial"/>
                <w:color w:val="000000" w:themeColor="text1"/>
              </w:rPr>
            </w:pPr>
          </w:p>
          <w:p w14:paraId="7649FE10" w14:textId="4B7BC9B6" w:rsidR="00E2148E" w:rsidRPr="00A87D96" w:rsidRDefault="00E2148E">
            <w:pPr>
              <w:tabs>
                <w:tab w:val="left" w:pos="720"/>
                <w:tab w:val="left" w:pos="9214"/>
              </w:tabs>
              <w:ind w:right="34"/>
              <w:rPr>
                <w:rFonts w:ascii="Arial" w:eastAsia="Calibri" w:hAnsi="Arial" w:cs="Arial"/>
                <w:b/>
                <w:i/>
                <w:color w:val="000000" w:themeColor="text1"/>
              </w:rPr>
            </w:pPr>
            <w:r w:rsidRPr="00A87D96">
              <w:rPr>
                <w:rFonts w:ascii="Arial" w:eastAsia="Calibri" w:hAnsi="Arial" w:cs="Arial"/>
                <w:b/>
                <w:color w:val="000000" w:themeColor="text1"/>
              </w:rPr>
              <w:t>Requirement 4: When providing patient care and services, providers must ensure that students are supervised appropriately according to the activity and the student’s stage of development</w:t>
            </w:r>
            <w:r w:rsidR="001C1CB7" w:rsidRPr="00A87D96">
              <w:rPr>
                <w:rFonts w:ascii="Arial" w:eastAsia="Calibri" w:hAnsi="Arial" w:cs="Arial"/>
                <w:b/>
                <w:color w:val="000000" w:themeColor="text1"/>
              </w:rPr>
              <w:t xml:space="preserve"> (</w:t>
            </w:r>
            <w:r w:rsidR="001C1CB7" w:rsidRPr="00A87D96">
              <w:rPr>
                <w:rFonts w:ascii="Arial" w:eastAsia="Calibri" w:hAnsi="Arial" w:cs="Arial"/>
                <w:b/>
                <w:i/>
                <w:color w:val="000000" w:themeColor="text1"/>
              </w:rPr>
              <w:t>Requirement Met)</w:t>
            </w:r>
          </w:p>
          <w:p w14:paraId="4A960300" w14:textId="77777777" w:rsidR="005B54B4" w:rsidRPr="00A87D96" w:rsidRDefault="005B54B4" w:rsidP="005B54B4">
            <w:pPr>
              <w:pStyle w:val="NormalWeb"/>
              <w:rPr>
                <w:rFonts w:ascii="Arial" w:hAnsi="Arial" w:cs="Arial"/>
                <w:sz w:val="22"/>
                <w:szCs w:val="22"/>
              </w:rPr>
            </w:pPr>
            <w:r w:rsidRPr="00A87D96">
              <w:rPr>
                <w:rFonts w:ascii="Arial" w:hAnsi="Arial" w:cs="Arial"/>
                <w:sz w:val="22"/>
                <w:szCs w:val="22"/>
              </w:rPr>
              <w:t>All student clinical and non-clinical activities are staffed appropriately, considering the nature of the clinical task, the student’s stage of training, and the specific learning environment. This approach ensures a safe and supportive setting for both patients and students. All clinical teaching staff are registered with the General Dental Council (GDC) and are assigned supervisory responsibilities in accordance with their scope of practice.</w:t>
            </w:r>
          </w:p>
          <w:p w14:paraId="77FDFDA6" w14:textId="77777777" w:rsidR="005B54B4" w:rsidRPr="00A87D96" w:rsidRDefault="005B54B4" w:rsidP="005B54B4">
            <w:pPr>
              <w:pStyle w:val="NormalWeb"/>
              <w:rPr>
                <w:rFonts w:ascii="Arial" w:hAnsi="Arial" w:cs="Arial"/>
                <w:sz w:val="22"/>
                <w:szCs w:val="22"/>
              </w:rPr>
            </w:pPr>
            <w:r w:rsidRPr="00A87D96">
              <w:rPr>
                <w:rFonts w:ascii="Arial" w:hAnsi="Arial" w:cs="Arial"/>
                <w:sz w:val="22"/>
                <w:szCs w:val="22"/>
              </w:rPr>
              <w:t>In restorative clinics, the maximum staff-to-student ratio is 1:8, with a typical ratio of 1:6. Oral surgery clinics maintain a ratio of 1:2 for routine extractions and 1:1 for surgical extractions. Paediatric clinics generally operate with a 1:3 supervision ratio, while orthodontic patient clinics also follow a 1:3 ratio. In cases where students provide emergency care for patients with fixed appliances, a 1:1 supervision ratio is maintained.</w:t>
            </w:r>
          </w:p>
          <w:p w14:paraId="65F8C3A9" w14:textId="77777777" w:rsidR="005B54B4" w:rsidRPr="00A87D96" w:rsidRDefault="005B54B4" w:rsidP="005B54B4">
            <w:pPr>
              <w:tabs>
                <w:tab w:val="left" w:pos="720"/>
              </w:tabs>
              <w:ind w:right="5"/>
              <w:contextualSpacing/>
              <w:rPr>
                <w:rFonts w:ascii="Arial" w:eastAsia="Calibri" w:hAnsi="Arial" w:cs="Arial"/>
                <w:color w:val="000000" w:themeColor="text1"/>
              </w:rPr>
            </w:pPr>
            <w:r w:rsidRPr="00A87D96">
              <w:rPr>
                <w:rFonts w:ascii="Arial" w:eastAsia="Calibri" w:hAnsi="Arial" w:cs="Arial"/>
                <w:color w:val="000000" w:themeColor="text1"/>
              </w:rPr>
              <w:t>The panel found the Requirement to be met.</w:t>
            </w:r>
          </w:p>
          <w:p w14:paraId="0FA4AE6A" w14:textId="05853240" w:rsidR="00E2148E" w:rsidRPr="00A87D96" w:rsidRDefault="00E2148E">
            <w:pPr>
              <w:tabs>
                <w:tab w:val="left" w:pos="720"/>
                <w:tab w:val="left" w:pos="9214"/>
              </w:tabs>
              <w:ind w:right="34"/>
              <w:rPr>
                <w:rFonts w:ascii="Arial" w:eastAsia="Calibri" w:hAnsi="Arial" w:cs="Arial"/>
                <w:color w:val="000000" w:themeColor="text1"/>
              </w:rPr>
            </w:pPr>
          </w:p>
          <w:p w14:paraId="64EAAC62" w14:textId="11FD2C8E" w:rsidR="00E2148E" w:rsidRPr="00A87D96" w:rsidRDefault="00E2148E">
            <w:pPr>
              <w:tabs>
                <w:tab w:val="left" w:pos="720"/>
                <w:tab w:val="left" w:pos="9214"/>
              </w:tabs>
              <w:rPr>
                <w:rFonts w:ascii="Arial" w:eastAsia="Calibri" w:hAnsi="Arial" w:cs="Arial"/>
                <w:b/>
                <w:i/>
                <w:color w:val="000000" w:themeColor="text1"/>
              </w:rPr>
            </w:pPr>
            <w:r w:rsidRPr="00A87D96">
              <w:rPr>
                <w:rFonts w:ascii="Arial" w:eastAsia="Calibri" w:hAnsi="Arial" w:cs="Arial"/>
                <w:b/>
                <w:color w:val="000000" w:themeColor="text1"/>
              </w:rPr>
              <w:t>Requirement 5: Supervisors must be appropriately qualified and trained. This should include training in equality and diversity legislation relevant for the role. Clinical supervisors must have appropriate general or specialist registration with a UK regulatory body</w:t>
            </w:r>
            <w:r w:rsidR="001C1CB7" w:rsidRPr="00A87D96">
              <w:rPr>
                <w:rFonts w:ascii="Arial" w:eastAsia="Calibri" w:hAnsi="Arial" w:cs="Arial"/>
                <w:b/>
                <w:color w:val="000000" w:themeColor="text1"/>
              </w:rPr>
              <w:t>. (</w:t>
            </w:r>
            <w:r w:rsidR="001C1CB7" w:rsidRPr="00A87D96">
              <w:rPr>
                <w:rFonts w:ascii="Arial" w:eastAsia="Calibri" w:hAnsi="Arial" w:cs="Arial"/>
                <w:b/>
                <w:i/>
                <w:color w:val="000000" w:themeColor="text1"/>
              </w:rPr>
              <w:t>Requirement Met)</w:t>
            </w:r>
          </w:p>
          <w:p w14:paraId="731644AC" w14:textId="77777777" w:rsidR="007957C0" w:rsidRPr="00A87D96" w:rsidRDefault="007957C0" w:rsidP="007957C0">
            <w:pPr>
              <w:pStyle w:val="NormalWeb"/>
              <w:rPr>
                <w:rFonts w:ascii="Arial" w:hAnsi="Arial" w:cs="Arial"/>
                <w:sz w:val="22"/>
                <w:szCs w:val="22"/>
              </w:rPr>
            </w:pPr>
            <w:r w:rsidRPr="00A87D96">
              <w:rPr>
                <w:rFonts w:ascii="Arial" w:hAnsi="Arial" w:cs="Arial"/>
                <w:sz w:val="22"/>
                <w:szCs w:val="22"/>
              </w:rPr>
              <w:t>Appointments to roles within the School of Dentistry are made through formal appointment panels, which include representatives from both the NHS and the University. Candidates invited for interview for clinical positions must demonstrate appropriate registration with the GDC.</w:t>
            </w:r>
          </w:p>
          <w:p w14:paraId="38555EAA" w14:textId="77777777" w:rsidR="007957C0" w:rsidRPr="00A87D96" w:rsidRDefault="007957C0" w:rsidP="007957C0">
            <w:pPr>
              <w:pStyle w:val="NormalWeb"/>
              <w:rPr>
                <w:rFonts w:ascii="Arial" w:hAnsi="Arial" w:cs="Arial"/>
                <w:sz w:val="22"/>
                <w:szCs w:val="22"/>
              </w:rPr>
            </w:pPr>
            <w:r w:rsidRPr="00A87D96">
              <w:rPr>
                <w:rFonts w:ascii="Arial" w:hAnsi="Arial" w:cs="Arial"/>
                <w:sz w:val="22"/>
                <w:szCs w:val="22"/>
              </w:rPr>
              <w:t>All staff are required to complete mandatory training as stipulated by both the University and the NHS. In addition, the School of Dentistry organises regular all-staff training days, which are open to employees based both within the School and at outreach placement sites.</w:t>
            </w:r>
          </w:p>
          <w:p w14:paraId="3E1D740D" w14:textId="77777777" w:rsidR="007957C0" w:rsidRPr="00A87D96" w:rsidRDefault="007957C0" w:rsidP="007957C0">
            <w:pPr>
              <w:pStyle w:val="NormalWeb"/>
              <w:rPr>
                <w:rFonts w:ascii="Arial" w:hAnsi="Arial" w:cs="Arial"/>
                <w:sz w:val="22"/>
                <w:szCs w:val="22"/>
              </w:rPr>
            </w:pPr>
            <w:r w:rsidRPr="00A87D96">
              <w:rPr>
                <w:rFonts w:ascii="Arial" w:hAnsi="Arial" w:cs="Arial"/>
                <w:sz w:val="22"/>
                <w:szCs w:val="22"/>
              </w:rPr>
              <w:lastRenderedPageBreak/>
              <w:t>New staff assigned to outreach placements, particularly those involving student participation in clinical care, are provided with shadowing opportunities. This supports consistency in teaching and clinical assessment standards through benchmarking and calibration.</w:t>
            </w:r>
          </w:p>
          <w:p w14:paraId="0AF9FDD4" w14:textId="77777777" w:rsidR="007957C0" w:rsidRPr="00A87D96" w:rsidRDefault="007957C0" w:rsidP="007957C0">
            <w:pPr>
              <w:pStyle w:val="NormalWeb"/>
              <w:rPr>
                <w:rFonts w:ascii="Arial" w:hAnsi="Arial" w:cs="Arial"/>
                <w:sz w:val="22"/>
                <w:szCs w:val="22"/>
              </w:rPr>
            </w:pPr>
            <w:r w:rsidRPr="00A87D96">
              <w:rPr>
                <w:rFonts w:ascii="Arial" w:hAnsi="Arial" w:cs="Arial"/>
                <w:sz w:val="22"/>
                <w:szCs w:val="22"/>
              </w:rPr>
              <w:t>As part of the School’s oversight and quality assurance measures, site visits are normally conducted on an annual basis by the Director of Student Placements (DSP), with remote visits occurring every six months. Visitation reports are jointly prepared by the DSP and the Placement Lead. At the conclusion of each academic year, the Placement Lead submits an Annual Quality Report to the DSP.</w:t>
            </w:r>
          </w:p>
          <w:p w14:paraId="338B5F18" w14:textId="77777777" w:rsidR="007957C0" w:rsidRPr="00A87D96" w:rsidRDefault="007957C0" w:rsidP="007957C0">
            <w:pPr>
              <w:tabs>
                <w:tab w:val="left" w:pos="720"/>
              </w:tabs>
              <w:ind w:right="5"/>
              <w:contextualSpacing/>
              <w:rPr>
                <w:rFonts w:ascii="Arial" w:eastAsia="Calibri" w:hAnsi="Arial" w:cs="Arial"/>
                <w:color w:val="000000" w:themeColor="text1"/>
              </w:rPr>
            </w:pPr>
            <w:r w:rsidRPr="00A87D96">
              <w:rPr>
                <w:rFonts w:ascii="Arial" w:eastAsia="Calibri" w:hAnsi="Arial" w:cs="Arial"/>
                <w:color w:val="000000" w:themeColor="text1"/>
              </w:rPr>
              <w:t>The panel found the Requirement to be met.</w:t>
            </w:r>
          </w:p>
          <w:p w14:paraId="19E4280F" w14:textId="43ACB3F6" w:rsidR="00E2148E" w:rsidRPr="00A87D96" w:rsidRDefault="00E2148E">
            <w:pPr>
              <w:tabs>
                <w:tab w:val="left" w:pos="720"/>
                <w:tab w:val="left" w:pos="9214"/>
                <w:tab w:val="left" w:pos="9248"/>
              </w:tabs>
              <w:ind w:right="34"/>
              <w:jc w:val="both"/>
              <w:rPr>
                <w:rFonts w:ascii="Arial" w:eastAsia="Calibri" w:hAnsi="Arial" w:cs="Arial"/>
                <w:color w:val="000000" w:themeColor="text1"/>
              </w:rPr>
            </w:pPr>
          </w:p>
          <w:p w14:paraId="49435915" w14:textId="706BC393" w:rsidR="00E2148E" w:rsidRPr="00A87D96" w:rsidRDefault="00E2148E">
            <w:pPr>
              <w:tabs>
                <w:tab w:val="left" w:pos="720"/>
                <w:tab w:val="left" w:pos="9214"/>
              </w:tabs>
              <w:ind w:right="34"/>
              <w:rPr>
                <w:rFonts w:ascii="Arial" w:eastAsia="Calibri" w:hAnsi="Arial" w:cs="Arial"/>
                <w:b/>
                <w:i/>
                <w:color w:val="000000" w:themeColor="text1"/>
              </w:rPr>
            </w:pPr>
            <w:r w:rsidRPr="00A87D96">
              <w:rPr>
                <w:rFonts w:ascii="Arial" w:eastAsia="Calibri" w:hAnsi="Arial" w:cs="Arial"/>
                <w:b/>
                <w:color w:val="000000" w:themeColor="text1"/>
              </w:rPr>
              <w:t>Requirement 6: Providers must ensure that students and all those involved in the delivery of education and training are aware of their obligation to raise concerns if they identify any risks to patient safety and the need for candour when things go wrong. Providers should publish policies so that it is clear to all parties how concerns should be raised and how these concerns will be acted upon. Providers must support those who do raise concerns and provide assurance that staff and students will not be penalised for doing so</w:t>
            </w:r>
            <w:r w:rsidR="001C1CB7" w:rsidRPr="00A87D96">
              <w:rPr>
                <w:rFonts w:ascii="Arial" w:eastAsia="Calibri" w:hAnsi="Arial" w:cs="Arial"/>
                <w:b/>
                <w:color w:val="000000" w:themeColor="text1"/>
              </w:rPr>
              <w:t>. (</w:t>
            </w:r>
            <w:r w:rsidR="001C1CB7" w:rsidRPr="00A87D96">
              <w:rPr>
                <w:rFonts w:ascii="Arial" w:eastAsia="Calibri" w:hAnsi="Arial" w:cs="Arial"/>
                <w:b/>
                <w:i/>
                <w:color w:val="000000" w:themeColor="text1"/>
              </w:rPr>
              <w:t>Requirement Met)</w:t>
            </w:r>
          </w:p>
          <w:p w14:paraId="1C365F27" w14:textId="77777777" w:rsidR="002E6D7F" w:rsidRPr="00A87D96" w:rsidRDefault="002E6D7F" w:rsidP="002E6D7F">
            <w:pPr>
              <w:pStyle w:val="NormalWeb"/>
              <w:contextualSpacing/>
              <w:rPr>
                <w:rFonts w:ascii="Arial" w:hAnsi="Arial" w:cs="Arial"/>
                <w:sz w:val="22"/>
                <w:szCs w:val="22"/>
              </w:rPr>
            </w:pPr>
            <w:r w:rsidRPr="00A87D96">
              <w:rPr>
                <w:rFonts w:ascii="Arial" w:hAnsi="Arial" w:cs="Arial"/>
                <w:sz w:val="22"/>
                <w:szCs w:val="22"/>
              </w:rPr>
              <w:t xml:space="preserve">Cardiff and Vale University Health Board has established clear, published policies and procedures outlining how concerns may be raised and subsequently managed. There is a culture of open and transparent communication between clinical and managerial teams to proactively identify, and address issues related to patient care. </w:t>
            </w:r>
          </w:p>
          <w:p w14:paraId="6CED1F5A" w14:textId="77777777" w:rsidR="002E6D7F" w:rsidRPr="00A87D96" w:rsidRDefault="002E6D7F" w:rsidP="002E6D7F">
            <w:pPr>
              <w:pStyle w:val="NormalWeb"/>
              <w:contextualSpacing/>
              <w:rPr>
                <w:rFonts w:ascii="Arial" w:hAnsi="Arial" w:cs="Arial"/>
                <w:sz w:val="22"/>
                <w:szCs w:val="22"/>
              </w:rPr>
            </w:pPr>
          </w:p>
          <w:p w14:paraId="5FD8A4C6" w14:textId="77777777" w:rsidR="002E6D7F" w:rsidRPr="00A87D96" w:rsidRDefault="002E6D7F" w:rsidP="002E6D7F">
            <w:pPr>
              <w:pStyle w:val="NormalWeb"/>
              <w:contextualSpacing/>
              <w:rPr>
                <w:rFonts w:ascii="Arial" w:hAnsi="Arial" w:cs="Arial"/>
                <w:sz w:val="22"/>
                <w:szCs w:val="22"/>
              </w:rPr>
            </w:pPr>
            <w:r w:rsidRPr="00A87D96">
              <w:rPr>
                <w:rFonts w:ascii="Arial" w:hAnsi="Arial" w:cs="Arial"/>
                <w:sz w:val="22"/>
                <w:szCs w:val="22"/>
              </w:rPr>
              <w:t xml:space="preserve">All staff are required to report clinical incidents and near misses regardless of whether harm occurred using the Datix online risk management system. </w:t>
            </w:r>
          </w:p>
          <w:p w14:paraId="15361B1F" w14:textId="77777777" w:rsidR="002E6D7F" w:rsidRPr="00A87D96" w:rsidRDefault="002E6D7F" w:rsidP="002E6D7F">
            <w:pPr>
              <w:pStyle w:val="NormalWeb"/>
              <w:contextualSpacing/>
              <w:rPr>
                <w:rFonts w:ascii="Arial" w:hAnsi="Arial" w:cs="Arial"/>
                <w:sz w:val="22"/>
                <w:szCs w:val="22"/>
              </w:rPr>
            </w:pPr>
          </w:p>
          <w:p w14:paraId="57BB29E9" w14:textId="77777777" w:rsidR="002E6D7F" w:rsidRPr="00A87D96" w:rsidRDefault="002E6D7F" w:rsidP="002E6D7F">
            <w:pPr>
              <w:pStyle w:val="NormalWeb"/>
              <w:contextualSpacing/>
              <w:rPr>
                <w:rFonts w:ascii="Arial" w:hAnsi="Arial" w:cs="Arial"/>
                <w:sz w:val="22"/>
                <w:szCs w:val="22"/>
              </w:rPr>
            </w:pPr>
            <w:r w:rsidRPr="00A87D96">
              <w:rPr>
                <w:rFonts w:ascii="Arial" w:hAnsi="Arial" w:cs="Arial"/>
                <w:sz w:val="22"/>
                <w:szCs w:val="22"/>
              </w:rPr>
              <w:t>From Year 1, students are introduced to the principles of duty of candour and the process of raising concerns, with further reinforcement in Year 2. The School’s Student Raising Concerns Policy, co-developed with the student body, outlines the procedures for students to report concerns. The policy is accessible in the Student Handbook and is highlighted during annual induction sessions. It is aligned with Cardiff University’s Whistleblowing Policy.</w:t>
            </w:r>
          </w:p>
          <w:p w14:paraId="4243AB95" w14:textId="77777777" w:rsidR="002E6D7F" w:rsidRPr="00A87D96" w:rsidRDefault="002E6D7F" w:rsidP="002E6D7F">
            <w:pPr>
              <w:tabs>
                <w:tab w:val="left" w:pos="720"/>
              </w:tabs>
              <w:ind w:right="5"/>
              <w:contextualSpacing/>
              <w:rPr>
                <w:rFonts w:ascii="Arial" w:eastAsia="Calibri" w:hAnsi="Arial" w:cs="Arial"/>
                <w:color w:val="000000" w:themeColor="text1"/>
              </w:rPr>
            </w:pPr>
            <w:r w:rsidRPr="00A87D96">
              <w:rPr>
                <w:rFonts w:ascii="Arial" w:eastAsia="Calibri" w:hAnsi="Arial" w:cs="Arial"/>
                <w:color w:val="000000" w:themeColor="text1"/>
              </w:rPr>
              <w:t>The panel found the Requirement to be met.</w:t>
            </w:r>
          </w:p>
          <w:p w14:paraId="37BD5C7C" w14:textId="18CD3725" w:rsidR="00E2148E" w:rsidRPr="00A87D96" w:rsidRDefault="00E2148E">
            <w:pPr>
              <w:tabs>
                <w:tab w:val="left" w:pos="720"/>
                <w:tab w:val="left" w:pos="9214"/>
              </w:tabs>
              <w:ind w:right="2789"/>
              <w:rPr>
                <w:rFonts w:ascii="Arial" w:eastAsia="Calibri" w:hAnsi="Arial" w:cs="Arial"/>
                <w:color w:val="000000" w:themeColor="text1"/>
              </w:rPr>
            </w:pPr>
          </w:p>
          <w:p w14:paraId="55CEB964" w14:textId="49A63F67" w:rsidR="00E2148E" w:rsidRPr="00A87D96" w:rsidRDefault="00E2148E">
            <w:pPr>
              <w:tabs>
                <w:tab w:val="left" w:pos="720"/>
                <w:tab w:val="left" w:pos="9214"/>
              </w:tabs>
              <w:ind w:right="34"/>
              <w:rPr>
                <w:rFonts w:ascii="Arial" w:eastAsia="Calibri" w:hAnsi="Arial" w:cs="Arial"/>
                <w:b/>
                <w:i/>
                <w:color w:val="000000" w:themeColor="text1"/>
              </w:rPr>
            </w:pPr>
            <w:r w:rsidRPr="00A87D96">
              <w:rPr>
                <w:rFonts w:ascii="Arial" w:eastAsia="Calibri" w:hAnsi="Arial" w:cs="Arial"/>
                <w:b/>
                <w:color w:val="000000" w:themeColor="text1"/>
              </w:rPr>
              <w:t>Requirement 7: Systems must be in place to identify and record issues that may affect patient safety. Should a patient safety issue arise, appropriate action must be taken by the provider and where necessary the relevant regulatory body should be notified</w:t>
            </w:r>
            <w:r w:rsidR="001C1CB7" w:rsidRPr="00A87D96">
              <w:rPr>
                <w:rFonts w:ascii="Arial" w:eastAsia="Calibri" w:hAnsi="Arial" w:cs="Arial"/>
                <w:b/>
                <w:color w:val="000000" w:themeColor="text1"/>
              </w:rPr>
              <w:t>. (</w:t>
            </w:r>
            <w:r w:rsidR="001C1CB7" w:rsidRPr="00A87D96">
              <w:rPr>
                <w:rFonts w:ascii="Arial" w:eastAsia="Calibri" w:hAnsi="Arial" w:cs="Arial"/>
                <w:b/>
                <w:i/>
                <w:color w:val="000000" w:themeColor="text1"/>
              </w:rPr>
              <w:t>Requirement Met)</w:t>
            </w:r>
          </w:p>
          <w:p w14:paraId="464FA981" w14:textId="77777777" w:rsidR="00FB6ED4" w:rsidRPr="00A87D96" w:rsidRDefault="00FB6ED4" w:rsidP="00FB6ED4">
            <w:pPr>
              <w:pStyle w:val="NormalWeb"/>
              <w:rPr>
                <w:rFonts w:ascii="Arial" w:hAnsi="Arial" w:cs="Arial"/>
                <w:sz w:val="22"/>
                <w:szCs w:val="22"/>
              </w:rPr>
            </w:pPr>
            <w:r w:rsidRPr="00A87D96">
              <w:rPr>
                <w:rFonts w:ascii="Arial" w:hAnsi="Arial" w:cs="Arial"/>
                <w:sz w:val="22"/>
                <w:szCs w:val="22"/>
              </w:rPr>
              <w:t>The University Dental Hospital (UDH) utilises the Datix system, an IT-based platform designed for the systematic reporting of adverse events and near misses related to patient safety and experience. This system facilitates the detailed documentation of all incidents.</w:t>
            </w:r>
          </w:p>
          <w:p w14:paraId="79269A98" w14:textId="77777777" w:rsidR="00FB6ED4" w:rsidRPr="00A87D96" w:rsidRDefault="00FB6ED4" w:rsidP="00FB6ED4">
            <w:pPr>
              <w:pStyle w:val="NormalWeb"/>
              <w:rPr>
                <w:rFonts w:ascii="Arial" w:hAnsi="Arial" w:cs="Arial"/>
                <w:sz w:val="22"/>
                <w:szCs w:val="22"/>
              </w:rPr>
            </w:pPr>
            <w:r w:rsidRPr="00A87D96">
              <w:rPr>
                <w:rFonts w:ascii="Arial" w:hAnsi="Arial" w:cs="Arial"/>
                <w:sz w:val="22"/>
                <w:szCs w:val="22"/>
              </w:rPr>
              <w:t>Reported incidents are reviewed by the Dental Hospital and School OHSAG and/or the Quality and Safety Committee. Where necessary, appropriate actions are implemented to address identified issues.</w:t>
            </w:r>
          </w:p>
          <w:p w14:paraId="5905A62A" w14:textId="77777777" w:rsidR="00FB6ED4" w:rsidRPr="00A87D96" w:rsidRDefault="00FB6ED4" w:rsidP="00FB6ED4">
            <w:pPr>
              <w:pStyle w:val="NormalWeb"/>
              <w:rPr>
                <w:rFonts w:ascii="Arial" w:hAnsi="Arial" w:cs="Arial"/>
                <w:sz w:val="22"/>
                <w:szCs w:val="22"/>
              </w:rPr>
            </w:pPr>
            <w:r w:rsidRPr="00A87D96">
              <w:rPr>
                <w:rFonts w:ascii="Arial" w:hAnsi="Arial" w:cs="Arial"/>
                <w:sz w:val="22"/>
                <w:szCs w:val="22"/>
              </w:rPr>
              <w:t xml:space="preserve">CAFS is an </w:t>
            </w:r>
            <w:proofErr w:type="spellStart"/>
            <w:r w:rsidRPr="00A87D96">
              <w:rPr>
                <w:rFonts w:ascii="Arial" w:hAnsi="Arial" w:cs="Arial"/>
                <w:sz w:val="22"/>
                <w:szCs w:val="22"/>
              </w:rPr>
              <w:t>ePortfolio</w:t>
            </w:r>
            <w:proofErr w:type="spellEnd"/>
            <w:r w:rsidRPr="00A87D96">
              <w:rPr>
                <w:rFonts w:ascii="Arial" w:hAnsi="Arial" w:cs="Arial"/>
                <w:sz w:val="22"/>
                <w:szCs w:val="22"/>
              </w:rPr>
              <w:t xml:space="preserve"> system used by all undergraduate students in the School. It was successfully launched in January 2024 replacing the previous system </w:t>
            </w:r>
            <w:proofErr w:type="spellStart"/>
            <w:r w:rsidRPr="00A87D96">
              <w:rPr>
                <w:rFonts w:ascii="Arial" w:hAnsi="Arial" w:cs="Arial"/>
                <w:sz w:val="22"/>
                <w:szCs w:val="22"/>
              </w:rPr>
              <w:t>LiftUpp</w:t>
            </w:r>
            <w:proofErr w:type="spellEnd"/>
            <w:r w:rsidRPr="00A87D96">
              <w:rPr>
                <w:rFonts w:ascii="Arial" w:hAnsi="Arial" w:cs="Arial"/>
                <w:sz w:val="22"/>
                <w:szCs w:val="22"/>
              </w:rPr>
              <w:t xml:space="preserve">. It also provides a confidential reporting platform for both students and staff to raise serious concerns, including those that may impact patient safety. Submissions are reviewed by the Senior Education Team </w:t>
            </w:r>
            <w:r w:rsidRPr="00A87D96">
              <w:rPr>
                <w:rFonts w:ascii="Arial" w:hAnsi="Arial" w:cs="Arial"/>
                <w:sz w:val="22"/>
                <w:szCs w:val="22"/>
              </w:rPr>
              <w:lastRenderedPageBreak/>
              <w:t>and the Academic Progress and Performance (APP) Committee to determine suitable follow-up actions.</w:t>
            </w:r>
          </w:p>
          <w:p w14:paraId="553612B1" w14:textId="77777777" w:rsidR="00A87D96" w:rsidRPr="00A87D96" w:rsidRDefault="11F02196" w:rsidP="00FB6ED4">
            <w:pPr>
              <w:pStyle w:val="NormalWeb"/>
              <w:contextualSpacing/>
              <w:rPr>
                <w:rFonts w:ascii="Arial" w:hAnsi="Arial" w:cs="Arial"/>
                <w:sz w:val="22"/>
                <w:szCs w:val="22"/>
              </w:rPr>
            </w:pPr>
            <w:r w:rsidRPr="00A87D96">
              <w:rPr>
                <w:rFonts w:ascii="Arial" w:hAnsi="Arial" w:cs="Arial"/>
                <w:sz w:val="22"/>
                <w:szCs w:val="22"/>
              </w:rPr>
              <w:t>Incidents occurring at outreach locations are managed locally. These incidents are reviewed and addressed in alignment with the processes used at UDH, ensuring consistent application of learning and safety improvements across all clinical settings.</w:t>
            </w:r>
          </w:p>
          <w:p w14:paraId="296AFDC5" w14:textId="77777777" w:rsidR="00A87D96" w:rsidRPr="00A87D96" w:rsidRDefault="00A87D96" w:rsidP="00FB6ED4">
            <w:pPr>
              <w:pStyle w:val="NormalWeb"/>
              <w:contextualSpacing/>
              <w:rPr>
                <w:rFonts w:ascii="Arial" w:hAnsi="Arial" w:cs="Arial"/>
                <w:color w:val="000000" w:themeColor="text1"/>
                <w:sz w:val="22"/>
                <w:szCs w:val="22"/>
              </w:rPr>
            </w:pPr>
          </w:p>
          <w:p w14:paraId="76AB27A3" w14:textId="3ACB6EEB" w:rsidR="00E2148E" w:rsidRPr="00A87D96" w:rsidRDefault="00FB6ED4" w:rsidP="00FB6ED4">
            <w:pPr>
              <w:pStyle w:val="NormalWeb"/>
              <w:contextualSpacing/>
              <w:rPr>
                <w:rFonts w:ascii="Arial" w:eastAsia="Calibri" w:hAnsi="Arial" w:cs="Arial"/>
                <w:color w:val="000000" w:themeColor="text1"/>
                <w:kern w:val="2"/>
                <w:sz w:val="22"/>
                <w:szCs w:val="22"/>
                <w:lang w:eastAsia="en-US"/>
                <w14:ligatures w14:val="standardContextual"/>
              </w:rPr>
            </w:pPr>
            <w:r w:rsidRPr="00A87D96">
              <w:rPr>
                <w:rFonts w:ascii="Arial" w:eastAsia="Calibri" w:hAnsi="Arial" w:cs="Arial"/>
                <w:color w:val="000000" w:themeColor="text1"/>
                <w:sz w:val="22"/>
                <w:szCs w:val="22"/>
              </w:rPr>
              <w:t>The panel found the Requirement to be met.</w:t>
            </w:r>
          </w:p>
          <w:p w14:paraId="25F93F3D" w14:textId="381BA29E" w:rsidR="00E2148E" w:rsidRPr="00A87D96" w:rsidRDefault="00E2148E">
            <w:pPr>
              <w:tabs>
                <w:tab w:val="left" w:pos="720"/>
                <w:tab w:val="left" w:pos="9214"/>
              </w:tabs>
              <w:rPr>
                <w:rFonts w:ascii="Arial" w:eastAsia="Calibri" w:hAnsi="Arial" w:cs="Arial"/>
                <w:b/>
                <w:i/>
                <w:color w:val="000000" w:themeColor="text1"/>
              </w:rPr>
            </w:pPr>
            <w:r w:rsidRPr="00A87D96">
              <w:rPr>
                <w:rFonts w:ascii="Arial" w:eastAsia="Calibri" w:hAnsi="Arial" w:cs="Arial"/>
                <w:b/>
                <w:color w:val="000000" w:themeColor="text1"/>
              </w:rPr>
              <w:t>Requirement 8: Providers must have a student fitness to practise policy and apply as required. The content and significance of the student fitness to practise procedures must be conveyed to students and aligned to GDC Student Fitness to Practise Guidance. Staff involved in the delivery of the programme should be familiar with the GDC Student Fitness to Practise Guidance. Providers must also ensure that the GDC’s Standard for the Dental Team are embedded within student training</w:t>
            </w:r>
            <w:r w:rsidR="001C1CB7" w:rsidRPr="00A87D96">
              <w:rPr>
                <w:rFonts w:ascii="Arial" w:eastAsia="Calibri" w:hAnsi="Arial" w:cs="Arial"/>
                <w:b/>
                <w:color w:val="000000" w:themeColor="text1"/>
              </w:rPr>
              <w:t>. (</w:t>
            </w:r>
            <w:r w:rsidR="001C1CB7" w:rsidRPr="00A87D96">
              <w:rPr>
                <w:rFonts w:ascii="Arial" w:eastAsia="Calibri" w:hAnsi="Arial" w:cs="Arial"/>
                <w:b/>
                <w:i/>
                <w:color w:val="000000" w:themeColor="text1"/>
              </w:rPr>
              <w:t>Requirement Met)</w:t>
            </w:r>
          </w:p>
          <w:p w14:paraId="4E57047B" w14:textId="77777777" w:rsidR="005236DF" w:rsidRPr="00A87D96" w:rsidRDefault="005236DF" w:rsidP="005236DF">
            <w:pPr>
              <w:pStyle w:val="NormalWeb"/>
              <w:contextualSpacing/>
              <w:rPr>
                <w:rFonts w:ascii="Arial" w:hAnsi="Arial" w:cs="Arial"/>
                <w:sz w:val="22"/>
                <w:szCs w:val="22"/>
              </w:rPr>
            </w:pPr>
            <w:r w:rsidRPr="00A87D96">
              <w:rPr>
                <w:rFonts w:ascii="Arial" w:hAnsi="Arial" w:cs="Arial"/>
                <w:sz w:val="22"/>
                <w:szCs w:val="22"/>
              </w:rPr>
              <w:t>In Year 1, students engage in dedicated professionalism teaching sessions aimed at introducing and reinforcing the GDC’s Standards for the Dental Team.</w:t>
            </w:r>
          </w:p>
          <w:p w14:paraId="7B53C895" w14:textId="77777777" w:rsidR="005236DF" w:rsidRPr="00A87D96" w:rsidRDefault="005236DF" w:rsidP="005236DF">
            <w:pPr>
              <w:pStyle w:val="NormalWeb"/>
              <w:contextualSpacing/>
              <w:rPr>
                <w:rFonts w:ascii="Arial" w:hAnsi="Arial" w:cs="Arial"/>
                <w:sz w:val="22"/>
                <w:szCs w:val="22"/>
              </w:rPr>
            </w:pPr>
          </w:p>
          <w:p w14:paraId="5842FD87" w14:textId="77777777" w:rsidR="005236DF" w:rsidRPr="00A87D96" w:rsidRDefault="005236DF" w:rsidP="005236DF">
            <w:pPr>
              <w:pStyle w:val="NormalWeb"/>
              <w:contextualSpacing/>
              <w:rPr>
                <w:rFonts w:ascii="Arial" w:hAnsi="Arial" w:cs="Arial"/>
                <w:sz w:val="22"/>
                <w:szCs w:val="22"/>
              </w:rPr>
            </w:pPr>
            <w:r w:rsidRPr="00A87D96">
              <w:rPr>
                <w:rFonts w:ascii="Arial" w:hAnsi="Arial" w:cs="Arial"/>
                <w:sz w:val="22"/>
                <w:szCs w:val="22"/>
              </w:rPr>
              <w:t>At the start of each academic year, students from all cohorts participate in an induction week, which includes briefings on Fitness to Practise (FTP) and Academic Misconduct. As part of this process, students are required to review and commit to the Dental School Student Code of Conduct. This serves as a guiding framework throughout their clinical education, supporting the development of safe and professional practice.</w:t>
            </w:r>
          </w:p>
          <w:p w14:paraId="1D05188F" w14:textId="77777777" w:rsidR="005236DF" w:rsidRPr="00A87D96" w:rsidRDefault="005236DF" w:rsidP="005236DF">
            <w:pPr>
              <w:pStyle w:val="NormalWeb"/>
              <w:contextualSpacing/>
              <w:rPr>
                <w:rFonts w:ascii="Arial" w:hAnsi="Arial" w:cs="Arial"/>
                <w:sz w:val="22"/>
                <w:szCs w:val="22"/>
              </w:rPr>
            </w:pPr>
          </w:p>
          <w:p w14:paraId="678BEABB" w14:textId="77777777" w:rsidR="005236DF" w:rsidRPr="00A87D96" w:rsidRDefault="005236DF" w:rsidP="005236DF">
            <w:pPr>
              <w:pStyle w:val="NormalWeb"/>
              <w:contextualSpacing/>
              <w:rPr>
                <w:rFonts w:ascii="Arial" w:hAnsi="Arial" w:cs="Arial"/>
                <w:sz w:val="22"/>
                <w:szCs w:val="22"/>
              </w:rPr>
            </w:pPr>
            <w:r w:rsidRPr="00A87D96">
              <w:rPr>
                <w:rFonts w:ascii="Arial" w:hAnsi="Arial" w:cs="Arial"/>
                <w:sz w:val="22"/>
                <w:szCs w:val="22"/>
              </w:rPr>
              <w:t>The School formally reports to the GDC</w:t>
            </w:r>
            <w:r w:rsidRPr="00A87D96" w:rsidDel="00DD0561">
              <w:rPr>
                <w:rFonts w:ascii="Arial" w:hAnsi="Arial" w:cs="Arial"/>
                <w:sz w:val="22"/>
                <w:szCs w:val="22"/>
              </w:rPr>
              <w:t xml:space="preserve"> </w:t>
            </w:r>
            <w:r w:rsidRPr="00A87D96">
              <w:rPr>
                <w:rFonts w:ascii="Arial" w:hAnsi="Arial" w:cs="Arial"/>
                <w:sz w:val="22"/>
                <w:szCs w:val="22"/>
              </w:rPr>
              <w:t>any students who have been subject to FTP proceedings, as part of the University Declaration Pass List submission each summer.</w:t>
            </w:r>
          </w:p>
          <w:p w14:paraId="7DB8FE64" w14:textId="77777777" w:rsidR="005236DF" w:rsidRPr="00A87D96" w:rsidRDefault="005236DF" w:rsidP="005236DF">
            <w:pPr>
              <w:tabs>
                <w:tab w:val="left" w:pos="720"/>
              </w:tabs>
              <w:ind w:right="5"/>
              <w:contextualSpacing/>
              <w:rPr>
                <w:rFonts w:ascii="Arial" w:hAnsi="Arial" w:cs="Arial"/>
              </w:rPr>
            </w:pPr>
            <w:r w:rsidRPr="00A87D96">
              <w:rPr>
                <w:rFonts w:ascii="Arial" w:eastAsia="Calibri" w:hAnsi="Arial" w:cs="Arial"/>
                <w:color w:val="000000" w:themeColor="text1"/>
              </w:rPr>
              <w:t>The panel found the Requirement to be met.</w:t>
            </w:r>
          </w:p>
          <w:p w14:paraId="09A33DCE" w14:textId="77777777" w:rsidR="00E2148E" w:rsidRPr="00A87D96" w:rsidRDefault="00E2148E">
            <w:pPr>
              <w:tabs>
                <w:tab w:val="left" w:pos="9214"/>
              </w:tabs>
              <w:rPr>
                <w:rFonts w:ascii="Arial" w:eastAsia="Calibri" w:hAnsi="Arial" w:cs="Arial"/>
                <w:color w:val="000000" w:themeColor="text1"/>
              </w:rPr>
            </w:pPr>
          </w:p>
        </w:tc>
      </w:tr>
      <w:tr w:rsidR="00E2148E" w:rsidRPr="00165533" w14:paraId="23DE9A68" w14:textId="77777777" w:rsidTr="477A49B1">
        <w:tc>
          <w:tcPr>
            <w:tcW w:w="9464" w:type="dxa"/>
            <w:gridSpan w:val="3"/>
            <w:shd w:val="clear" w:color="auto" w:fill="2F5496" w:themeFill="accent1" w:themeFillShade="BF"/>
          </w:tcPr>
          <w:p w14:paraId="2B6D9C52" w14:textId="77777777" w:rsidR="005236DF" w:rsidRPr="00A87D96" w:rsidRDefault="005236DF">
            <w:pPr>
              <w:rPr>
                <w:rFonts w:ascii="Arial" w:hAnsi="Arial" w:cs="Arial"/>
                <w:bCs/>
                <w:color w:val="FFFFFF" w:themeColor="background1"/>
              </w:rPr>
            </w:pPr>
          </w:p>
          <w:p w14:paraId="180AADF4" w14:textId="29D6AB12" w:rsidR="00E2148E" w:rsidRPr="00A87D96" w:rsidRDefault="00E2148E">
            <w:pPr>
              <w:rPr>
                <w:rFonts w:ascii="Arial" w:hAnsi="Arial" w:cs="Arial"/>
                <w:b/>
                <w:color w:val="FFFFFF" w:themeColor="background1"/>
                <w:sz w:val="24"/>
                <w:szCs w:val="24"/>
              </w:rPr>
            </w:pPr>
            <w:r w:rsidRPr="00A87D96">
              <w:rPr>
                <w:rFonts w:ascii="Arial" w:hAnsi="Arial" w:cs="Arial"/>
                <w:b/>
                <w:color w:val="FFFFFF" w:themeColor="background1"/>
                <w:sz w:val="24"/>
                <w:szCs w:val="24"/>
              </w:rPr>
              <w:t>Standard 2 – Quality evaluation and review of the programme</w:t>
            </w:r>
          </w:p>
          <w:p w14:paraId="138C9504" w14:textId="77777777" w:rsidR="00E2148E" w:rsidRPr="00A87D96" w:rsidRDefault="00E2148E">
            <w:pPr>
              <w:rPr>
                <w:rFonts w:ascii="Arial" w:eastAsia="Calibri" w:hAnsi="Arial" w:cs="Arial"/>
                <w:bCs/>
                <w:color w:val="FFFFFF" w:themeColor="background1"/>
                <w:sz w:val="24"/>
                <w:szCs w:val="24"/>
              </w:rPr>
            </w:pPr>
            <w:r w:rsidRPr="00A87D96">
              <w:rPr>
                <w:rFonts w:ascii="Arial" w:eastAsia="Calibri" w:hAnsi="Arial" w:cs="Arial"/>
                <w:bCs/>
                <w:color w:val="FFFFFF" w:themeColor="background1"/>
                <w:sz w:val="24"/>
                <w:szCs w:val="24"/>
              </w:rPr>
              <w:t>The provider must have in place effective policy and procedures for the monitoring and review of the programme.</w:t>
            </w:r>
          </w:p>
          <w:p w14:paraId="6CC02F2C" w14:textId="77777777" w:rsidR="005236DF" w:rsidRPr="00A87D96" w:rsidRDefault="005236DF">
            <w:pPr>
              <w:rPr>
                <w:rFonts w:ascii="Arial" w:hAnsi="Arial" w:cs="Arial"/>
                <w:b/>
                <w:color w:val="FFFFFF" w:themeColor="background1"/>
              </w:rPr>
            </w:pPr>
          </w:p>
        </w:tc>
      </w:tr>
      <w:tr w:rsidR="00E2148E" w:rsidRPr="00165533" w14:paraId="16612C79" w14:textId="77777777" w:rsidTr="477A49B1">
        <w:trPr>
          <w:trHeight w:val="270"/>
        </w:trPr>
        <w:tc>
          <w:tcPr>
            <w:tcW w:w="9464" w:type="dxa"/>
            <w:gridSpan w:val="3"/>
          </w:tcPr>
          <w:p w14:paraId="2DD63F28" w14:textId="77777777" w:rsidR="00E2148E" w:rsidRPr="00A87D96" w:rsidRDefault="00E2148E">
            <w:pPr>
              <w:tabs>
                <w:tab w:val="left" w:pos="720"/>
                <w:tab w:val="left" w:pos="9214"/>
              </w:tabs>
              <w:ind w:right="34"/>
              <w:rPr>
                <w:rFonts w:ascii="Arial" w:eastAsia="Calibri" w:hAnsi="Arial" w:cs="Arial"/>
                <w:b/>
                <w:color w:val="000000" w:themeColor="text1"/>
              </w:rPr>
            </w:pPr>
          </w:p>
          <w:p w14:paraId="348E3E6F" w14:textId="6062519C" w:rsidR="00E2148E" w:rsidRPr="00A87D96" w:rsidRDefault="00E2148E">
            <w:pPr>
              <w:tabs>
                <w:tab w:val="left" w:pos="720"/>
                <w:tab w:val="left" w:pos="9214"/>
              </w:tabs>
              <w:ind w:right="34"/>
              <w:rPr>
                <w:rFonts w:ascii="Arial" w:eastAsia="Calibri" w:hAnsi="Arial" w:cs="Arial"/>
                <w:b/>
                <w:i/>
                <w:color w:val="000000" w:themeColor="text1"/>
              </w:rPr>
            </w:pPr>
            <w:r w:rsidRPr="00A87D96">
              <w:rPr>
                <w:rFonts w:ascii="Arial" w:eastAsia="Calibri" w:hAnsi="Arial" w:cs="Arial"/>
                <w:b/>
                <w:color w:val="000000" w:themeColor="text1"/>
              </w:rPr>
              <w:t>Requirement 9: The provider must have a framework in place that details how it manages the quality of the programme which includes making appropriate changes to ensure the curriculum continues to map across to the latest GDC outcomes and adapts to changing legislation and external guidance. There must be a clear statement about where responsibility lies for this function</w:t>
            </w:r>
            <w:r w:rsidR="005236DF" w:rsidRPr="00A87D96">
              <w:rPr>
                <w:rFonts w:ascii="Arial" w:eastAsia="Calibri" w:hAnsi="Arial" w:cs="Arial"/>
                <w:b/>
                <w:color w:val="000000" w:themeColor="text1"/>
              </w:rPr>
              <w:t>. (</w:t>
            </w:r>
            <w:r w:rsidR="005236DF" w:rsidRPr="00A87D96">
              <w:rPr>
                <w:rFonts w:ascii="Arial" w:eastAsia="Calibri" w:hAnsi="Arial" w:cs="Arial"/>
                <w:b/>
                <w:i/>
                <w:color w:val="000000" w:themeColor="text1"/>
              </w:rPr>
              <w:t>Requirement Met)</w:t>
            </w:r>
          </w:p>
          <w:p w14:paraId="0B1B8099" w14:textId="77777777" w:rsidR="00527DCA" w:rsidRPr="00A87D96" w:rsidRDefault="00527DCA" w:rsidP="00527DCA">
            <w:pPr>
              <w:pStyle w:val="NormalWeb"/>
              <w:rPr>
                <w:rFonts w:ascii="Arial" w:hAnsi="Arial" w:cs="Arial"/>
                <w:sz w:val="22"/>
                <w:szCs w:val="22"/>
              </w:rPr>
            </w:pPr>
            <w:r w:rsidRPr="00A87D96">
              <w:rPr>
                <w:rFonts w:ascii="Arial" w:hAnsi="Arial" w:cs="Arial"/>
                <w:sz w:val="22"/>
                <w:szCs w:val="22"/>
              </w:rPr>
              <w:t>The University maintains a comprehensive Education Governance framework, comprising a range of committees and sub-committees responsible for overseeing programme quality and shaping educational policy.</w:t>
            </w:r>
          </w:p>
          <w:p w14:paraId="392130A5" w14:textId="77777777" w:rsidR="00527DCA" w:rsidRPr="00A87D96" w:rsidRDefault="00527DCA" w:rsidP="00527DCA">
            <w:pPr>
              <w:pStyle w:val="NormalWeb"/>
              <w:rPr>
                <w:rFonts w:ascii="Arial" w:hAnsi="Arial" w:cs="Arial"/>
                <w:sz w:val="22"/>
                <w:szCs w:val="22"/>
              </w:rPr>
            </w:pPr>
            <w:r w:rsidRPr="00A87D96">
              <w:rPr>
                <w:rFonts w:ascii="Arial" w:hAnsi="Arial" w:cs="Arial"/>
                <w:sz w:val="22"/>
                <w:szCs w:val="22"/>
              </w:rPr>
              <w:t>The BDS programme is governed by a dedicated Board of Studies (BoS) and chaired by the Programme Lead. This Board is responsible for the academic and administrative management of the programme and plays a key role in enhancing the overall student experience.</w:t>
            </w:r>
          </w:p>
          <w:p w14:paraId="4953F339" w14:textId="77777777" w:rsidR="00527DCA" w:rsidRPr="00A87D96" w:rsidRDefault="00527DCA" w:rsidP="00527DCA">
            <w:pPr>
              <w:pStyle w:val="NormalWeb"/>
              <w:rPr>
                <w:rFonts w:ascii="Arial" w:hAnsi="Arial" w:cs="Arial"/>
                <w:sz w:val="22"/>
                <w:szCs w:val="22"/>
              </w:rPr>
            </w:pPr>
            <w:r w:rsidRPr="00A87D96">
              <w:rPr>
                <w:rFonts w:ascii="Arial" w:hAnsi="Arial" w:cs="Arial"/>
                <w:sz w:val="22"/>
                <w:szCs w:val="22"/>
              </w:rPr>
              <w:lastRenderedPageBreak/>
              <w:t>The University’s Quality and Academic Standards team provides support to Schools in the design, approval, implementation, monitoring, and routine modification of academic programmes, ensuring alignment with institutional policies and expectations.</w:t>
            </w:r>
          </w:p>
          <w:p w14:paraId="34A69DE9" w14:textId="77777777" w:rsidR="00527DCA" w:rsidRPr="00A87D96" w:rsidRDefault="00527DCA" w:rsidP="00527DCA">
            <w:pPr>
              <w:pStyle w:val="NormalWeb"/>
              <w:rPr>
                <w:rFonts w:ascii="Arial" w:hAnsi="Arial" w:cs="Arial"/>
                <w:sz w:val="22"/>
                <w:szCs w:val="22"/>
              </w:rPr>
            </w:pPr>
            <w:r w:rsidRPr="00A87D96">
              <w:rPr>
                <w:rFonts w:ascii="Arial" w:hAnsi="Arial" w:cs="Arial"/>
                <w:sz w:val="22"/>
                <w:szCs w:val="22"/>
              </w:rPr>
              <w:t>The School participates in the University’s periodic programme revalidation process. This review, conducted every five years, ensures that programmes remain current, academically robust, and compliant with institutional and regulatory standards. At present, the School is undertaking proposed revisions to all undergraduate programmes to ensure alignment with the GDC’s Safe Practitioner Framework.</w:t>
            </w:r>
          </w:p>
          <w:p w14:paraId="7704C311" w14:textId="77777777" w:rsidR="00527DCA" w:rsidRPr="00A87D96" w:rsidRDefault="00527DCA" w:rsidP="00527DCA">
            <w:pPr>
              <w:tabs>
                <w:tab w:val="left" w:pos="720"/>
              </w:tabs>
              <w:ind w:right="5"/>
              <w:contextualSpacing/>
            </w:pPr>
            <w:r w:rsidRPr="00A87D96">
              <w:rPr>
                <w:rFonts w:ascii="Arial" w:eastAsia="Calibri" w:hAnsi="Arial" w:cs="Arial"/>
                <w:color w:val="000000" w:themeColor="text1"/>
              </w:rPr>
              <w:t>The panel found the Requirement to be met.</w:t>
            </w:r>
          </w:p>
          <w:p w14:paraId="4FFDFCC5" w14:textId="36DA003A" w:rsidR="00E2148E" w:rsidRPr="00A87D96" w:rsidRDefault="00E2148E">
            <w:pPr>
              <w:tabs>
                <w:tab w:val="left" w:pos="720"/>
                <w:tab w:val="left" w:pos="9214"/>
              </w:tabs>
              <w:ind w:right="34"/>
              <w:rPr>
                <w:rFonts w:ascii="Arial" w:eastAsia="Calibri" w:hAnsi="Arial" w:cs="Arial"/>
                <w:color w:val="000000" w:themeColor="text1"/>
              </w:rPr>
            </w:pPr>
          </w:p>
          <w:p w14:paraId="176579BA" w14:textId="0C0365D3" w:rsidR="00E2148E" w:rsidRPr="00A87D96" w:rsidRDefault="00E2148E">
            <w:pPr>
              <w:tabs>
                <w:tab w:val="left" w:pos="720"/>
                <w:tab w:val="left" w:pos="9214"/>
              </w:tabs>
              <w:ind w:right="34"/>
              <w:rPr>
                <w:rFonts w:ascii="Arial" w:eastAsia="Calibri" w:hAnsi="Arial" w:cs="Arial"/>
                <w:b/>
                <w:i/>
                <w:color w:val="000000" w:themeColor="text1"/>
              </w:rPr>
            </w:pPr>
            <w:r w:rsidRPr="00A87D96">
              <w:rPr>
                <w:rFonts w:ascii="Arial" w:eastAsia="Calibri" w:hAnsi="Arial" w:cs="Arial"/>
                <w:b/>
                <w:color w:val="000000" w:themeColor="text1"/>
              </w:rPr>
              <w:t>Requirement 10: Any concerns identified through the Quality Management framework, including internal and external reports relating to quality, must be addressed as soon as possible and the GDC notified of serious threats to students achieving the learning outcomes.  The provider will have systems in place to quality assure placements</w:t>
            </w:r>
            <w:r w:rsidR="005236DF" w:rsidRPr="00A87D96">
              <w:rPr>
                <w:rFonts w:ascii="Arial" w:eastAsia="Calibri" w:hAnsi="Arial" w:cs="Arial"/>
                <w:b/>
                <w:color w:val="000000" w:themeColor="text1"/>
              </w:rPr>
              <w:t>. (</w:t>
            </w:r>
            <w:r w:rsidR="005236DF" w:rsidRPr="00A87D96">
              <w:rPr>
                <w:rFonts w:ascii="Arial" w:eastAsia="Calibri" w:hAnsi="Arial" w:cs="Arial"/>
                <w:b/>
                <w:i/>
                <w:color w:val="000000" w:themeColor="text1"/>
              </w:rPr>
              <w:t>Requirement Met)</w:t>
            </w:r>
          </w:p>
          <w:p w14:paraId="71EC1794" w14:textId="77777777" w:rsidR="00DB4643" w:rsidRPr="00A87D96" w:rsidRDefault="00DB4643" w:rsidP="00DB4643">
            <w:pPr>
              <w:pStyle w:val="NormalWeb"/>
              <w:contextualSpacing/>
              <w:rPr>
                <w:rFonts w:ascii="Arial" w:hAnsi="Arial" w:cs="Arial"/>
                <w:sz w:val="22"/>
                <w:szCs w:val="22"/>
              </w:rPr>
            </w:pPr>
            <w:r w:rsidRPr="00A87D96">
              <w:rPr>
                <w:rFonts w:ascii="Arial" w:hAnsi="Arial" w:cs="Arial"/>
                <w:sz w:val="22"/>
                <w:szCs w:val="22"/>
              </w:rPr>
              <w:t>The University's Quality Management framework includes ongoing processes for monitoring and evaluating programmes to maintain high quality and standards, while also identifying and addressing any concerns.</w:t>
            </w:r>
          </w:p>
          <w:p w14:paraId="09516AB3" w14:textId="77777777" w:rsidR="00DB4643" w:rsidRPr="00A87D96" w:rsidRDefault="00DB4643" w:rsidP="00DB4643">
            <w:pPr>
              <w:pStyle w:val="NormalWeb"/>
              <w:contextualSpacing/>
              <w:rPr>
                <w:rFonts w:ascii="Arial" w:hAnsi="Arial" w:cs="Arial"/>
                <w:sz w:val="22"/>
                <w:szCs w:val="22"/>
              </w:rPr>
            </w:pPr>
          </w:p>
          <w:p w14:paraId="13771817" w14:textId="073024E1" w:rsidR="00DB4643" w:rsidRPr="00A87D96" w:rsidRDefault="00DB4643" w:rsidP="00DB4643">
            <w:pPr>
              <w:pStyle w:val="NormalWeb"/>
              <w:contextualSpacing/>
              <w:rPr>
                <w:rFonts w:ascii="Arial" w:hAnsi="Arial" w:cs="Arial"/>
                <w:sz w:val="22"/>
                <w:szCs w:val="22"/>
              </w:rPr>
            </w:pPr>
            <w:r w:rsidRPr="00A87D96">
              <w:rPr>
                <w:rFonts w:ascii="Arial" w:hAnsi="Arial" w:cs="Arial"/>
                <w:sz w:val="22"/>
                <w:szCs w:val="22"/>
              </w:rPr>
              <w:t xml:space="preserve">The University has a long-established Annual Review and Enhancement (ARE) Process which is a key source of evidence to enable the University’s Academic Standards and Quality Committee to provide assurance to Senate and Council on academic standards and the quality of the student experience. To simplify and streamline the approach, the University approved a new Programme Review and Enhancements (PRE) for 2024/25 in July 2024. PRE combines the annual cycle of business and the ARE process to embed continuous review and enhancement in the education governance arrangements. Rather than producing one School PRE report each year, the Action Plans are live documents and are continually updated. </w:t>
            </w:r>
          </w:p>
          <w:p w14:paraId="5AE3F3A2" w14:textId="77777777" w:rsidR="00DB4643" w:rsidRPr="00A87D96" w:rsidRDefault="00DB4643" w:rsidP="00DB4643">
            <w:pPr>
              <w:pStyle w:val="NormalWeb"/>
              <w:contextualSpacing/>
              <w:rPr>
                <w:rFonts w:ascii="Arial" w:hAnsi="Arial" w:cs="Arial"/>
                <w:sz w:val="22"/>
                <w:szCs w:val="22"/>
              </w:rPr>
            </w:pPr>
          </w:p>
          <w:p w14:paraId="7606806A" w14:textId="77777777" w:rsidR="00DB4643" w:rsidRPr="00A87D96" w:rsidRDefault="00DB4643" w:rsidP="00DB4643">
            <w:pPr>
              <w:pStyle w:val="NormalWeb"/>
              <w:contextualSpacing/>
              <w:rPr>
                <w:rFonts w:ascii="Arial" w:hAnsi="Arial" w:cs="Arial"/>
                <w:sz w:val="22"/>
                <w:szCs w:val="22"/>
              </w:rPr>
            </w:pPr>
            <w:r w:rsidRPr="00A87D96">
              <w:rPr>
                <w:rFonts w:ascii="Arial" w:hAnsi="Arial" w:cs="Arial"/>
                <w:sz w:val="22"/>
                <w:szCs w:val="22"/>
              </w:rPr>
              <w:t>The School Risk Register is monitored and updated monthly via the Senior Leadership Team. It is also reported quarterly to the College of Biomedical and Life Sciences. These practices are in line with the University’s Risk Management Policy and Guidance.</w:t>
            </w:r>
          </w:p>
          <w:p w14:paraId="7279584B" w14:textId="77777777" w:rsidR="00DB4643" w:rsidRPr="00A87D96" w:rsidRDefault="00DB4643" w:rsidP="00DB4643">
            <w:pPr>
              <w:tabs>
                <w:tab w:val="left" w:pos="720"/>
              </w:tabs>
              <w:ind w:right="5"/>
              <w:contextualSpacing/>
            </w:pPr>
            <w:r w:rsidRPr="00A87D96">
              <w:rPr>
                <w:rFonts w:ascii="Arial" w:eastAsia="Calibri" w:hAnsi="Arial" w:cs="Arial"/>
                <w:color w:val="000000" w:themeColor="text1"/>
              </w:rPr>
              <w:t>The panel found the Requirement to be met.</w:t>
            </w:r>
          </w:p>
          <w:p w14:paraId="0E96666C" w14:textId="77777777" w:rsidR="00E2148E" w:rsidRPr="00A87D96" w:rsidRDefault="00E2148E">
            <w:pPr>
              <w:tabs>
                <w:tab w:val="left" w:pos="9214"/>
              </w:tabs>
              <w:ind w:right="34"/>
              <w:rPr>
                <w:rFonts w:ascii="Arial" w:eastAsia="Calibri" w:hAnsi="Arial" w:cs="Arial"/>
                <w:color w:val="000000" w:themeColor="text1"/>
              </w:rPr>
            </w:pPr>
          </w:p>
          <w:p w14:paraId="3AE3FCA0" w14:textId="57C40F7B" w:rsidR="00E2148E" w:rsidRPr="00A87D96" w:rsidRDefault="00E2148E">
            <w:pPr>
              <w:tabs>
                <w:tab w:val="left" w:pos="720"/>
                <w:tab w:val="left" w:pos="9214"/>
              </w:tabs>
              <w:ind w:right="34"/>
              <w:rPr>
                <w:rFonts w:ascii="Arial" w:eastAsia="Calibri" w:hAnsi="Arial" w:cs="Arial"/>
                <w:b/>
                <w:i/>
                <w:color w:val="000000" w:themeColor="text1"/>
              </w:rPr>
            </w:pPr>
            <w:r w:rsidRPr="00A87D96">
              <w:rPr>
                <w:rFonts w:ascii="Arial" w:eastAsia="Calibri" w:hAnsi="Arial" w:cs="Arial"/>
                <w:b/>
                <w:color w:val="000000" w:themeColor="text1"/>
              </w:rPr>
              <w:t>Requirement 11: Programmes must be subject to rigorous internal and external quality assurance procedures. External quality assurance should include the use of external examiners, who should be familiar with the GDC learning outcomes and their context and QAA guidelines should be followed where applicable. Patient and/or customer feedback must be collected and used to inform programme development</w:t>
            </w:r>
            <w:r w:rsidR="005236DF" w:rsidRPr="00A87D96">
              <w:rPr>
                <w:rFonts w:ascii="Arial" w:eastAsia="Calibri" w:hAnsi="Arial" w:cs="Arial"/>
                <w:b/>
                <w:color w:val="000000" w:themeColor="text1"/>
              </w:rPr>
              <w:t>. (</w:t>
            </w:r>
            <w:r w:rsidR="005236DF" w:rsidRPr="00A87D96">
              <w:rPr>
                <w:rFonts w:ascii="Arial" w:eastAsia="Calibri" w:hAnsi="Arial" w:cs="Arial"/>
                <w:b/>
                <w:i/>
                <w:color w:val="000000" w:themeColor="text1"/>
              </w:rPr>
              <w:t>Requirement Met)</w:t>
            </w:r>
          </w:p>
          <w:p w14:paraId="7DE00E38" w14:textId="77777777" w:rsidR="00687410" w:rsidRPr="00A87D96" w:rsidRDefault="00687410" w:rsidP="00687410">
            <w:pPr>
              <w:pStyle w:val="NormalWeb"/>
              <w:rPr>
                <w:rFonts w:ascii="Arial" w:hAnsi="Arial" w:cs="Arial"/>
                <w:sz w:val="22"/>
                <w:szCs w:val="22"/>
              </w:rPr>
            </w:pPr>
            <w:r w:rsidRPr="00A87D96">
              <w:rPr>
                <w:rFonts w:ascii="Arial" w:hAnsi="Arial" w:cs="Arial"/>
                <w:sz w:val="22"/>
                <w:szCs w:val="22"/>
              </w:rPr>
              <w:t>Cardiff University submits a regular Institutional Review to the Quality Assurance Agency for Higher Education (QAA), the independent body overseeing UK higher education standards and quality.</w:t>
            </w:r>
          </w:p>
          <w:p w14:paraId="178E75D4" w14:textId="77777777" w:rsidR="00687410" w:rsidRPr="00A87D96" w:rsidRDefault="00687410" w:rsidP="00687410">
            <w:pPr>
              <w:pStyle w:val="NormalWeb"/>
              <w:rPr>
                <w:rFonts w:ascii="Arial" w:hAnsi="Arial" w:cs="Arial"/>
                <w:sz w:val="22"/>
                <w:szCs w:val="22"/>
              </w:rPr>
            </w:pPr>
            <w:r w:rsidRPr="00A87D96">
              <w:rPr>
                <w:rFonts w:ascii="Arial" w:hAnsi="Arial" w:cs="Arial"/>
                <w:sz w:val="22"/>
                <w:szCs w:val="22"/>
              </w:rPr>
              <w:t>The University’s External Examiner Policy defines the roles and responsibilities of External Examiners (EEs). The School currently appoints 10 EEs for its undergraduate programmes. Upon appointment, EEs receive an overview of the relevant programmes, assessments, and the School.</w:t>
            </w:r>
          </w:p>
          <w:p w14:paraId="4F4B06AE" w14:textId="77777777" w:rsidR="00687410" w:rsidRPr="00A87D96" w:rsidRDefault="00687410" w:rsidP="00687410">
            <w:pPr>
              <w:pStyle w:val="NormalWeb"/>
              <w:rPr>
                <w:rFonts w:ascii="Arial" w:hAnsi="Arial" w:cs="Arial"/>
                <w:sz w:val="22"/>
                <w:szCs w:val="22"/>
              </w:rPr>
            </w:pPr>
            <w:r w:rsidRPr="00A87D96">
              <w:rPr>
                <w:rFonts w:ascii="Arial" w:hAnsi="Arial" w:cs="Arial"/>
                <w:sz w:val="22"/>
                <w:szCs w:val="22"/>
              </w:rPr>
              <w:lastRenderedPageBreak/>
              <w:t>Student input informs programme development through multiple channels, including:</w:t>
            </w:r>
          </w:p>
          <w:p w14:paraId="0C4C11B0" w14:textId="77777777" w:rsidR="00687410" w:rsidRPr="00A87D96" w:rsidRDefault="00687410" w:rsidP="00687410">
            <w:pPr>
              <w:pStyle w:val="NormalWeb"/>
              <w:numPr>
                <w:ilvl w:val="0"/>
                <w:numId w:val="17"/>
              </w:numPr>
              <w:rPr>
                <w:rFonts w:ascii="Arial" w:hAnsi="Arial" w:cs="Arial"/>
                <w:sz w:val="22"/>
                <w:szCs w:val="22"/>
              </w:rPr>
            </w:pPr>
            <w:r w:rsidRPr="00A87D96">
              <w:rPr>
                <w:rFonts w:ascii="Arial" w:hAnsi="Arial" w:cs="Arial"/>
                <w:sz w:val="22"/>
                <w:szCs w:val="22"/>
              </w:rPr>
              <w:t>Student-Staff Panels</w:t>
            </w:r>
          </w:p>
          <w:p w14:paraId="5D4F438F" w14:textId="77777777" w:rsidR="00687410" w:rsidRPr="00A87D96" w:rsidRDefault="00687410" w:rsidP="00687410">
            <w:pPr>
              <w:pStyle w:val="NormalWeb"/>
              <w:numPr>
                <w:ilvl w:val="0"/>
                <w:numId w:val="17"/>
              </w:numPr>
              <w:rPr>
                <w:rFonts w:ascii="Arial" w:hAnsi="Arial" w:cs="Arial"/>
                <w:sz w:val="22"/>
                <w:szCs w:val="22"/>
              </w:rPr>
            </w:pPr>
            <w:r w:rsidRPr="00A87D96">
              <w:rPr>
                <w:rFonts w:ascii="Arial" w:hAnsi="Arial" w:cs="Arial"/>
                <w:sz w:val="22"/>
                <w:szCs w:val="22"/>
              </w:rPr>
              <w:t>Monthly Student Representative meetings</w:t>
            </w:r>
          </w:p>
          <w:p w14:paraId="44DFAEBF" w14:textId="77777777" w:rsidR="00687410" w:rsidRPr="00A87D96" w:rsidRDefault="00687410" w:rsidP="00687410">
            <w:pPr>
              <w:pStyle w:val="NormalWeb"/>
              <w:numPr>
                <w:ilvl w:val="0"/>
                <w:numId w:val="17"/>
              </w:numPr>
              <w:rPr>
                <w:rFonts w:ascii="Arial" w:hAnsi="Arial" w:cs="Arial"/>
                <w:sz w:val="22"/>
                <w:szCs w:val="22"/>
              </w:rPr>
            </w:pPr>
            <w:r w:rsidRPr="00A87D96">
              <w:rPr>
                <w:rFonts w:ascii="Arial" w:hAnsi="Arial" w:cs="Arial"/>
                <w:sz w:val="22"/>
                <w:szCs w:val="22"/>
              </w:rPr>
              <w:t>Committees</w:t>
            </w:r>
          </w:p>
          <w:p w14:paraId="543FC182" w14:textId="77777777" w:rsidR="00687410" w:rsidRPr="00A87D96" w:rsidRDefault="00687410" w:rsidP="00687410">
            <w:pPr>
              <w:pStyle w:val="NormalWeb"/>
              <w:numPr>
                <w:ilvl w:val="0"/>
                <w:numId w:val="17"/>
              </w:numPr>
              <w:rPr>
                <w:rFonts w:ascii="Arial" w:hAnsi="Arial" w:cs="Arial"/>
                <w:sz w:val="22"/>
                <w:szCs w:val="22"/>
              </w:rPr>
            </w:pPr>
            <w:r w:rsidRPr="00A87D96">
              <w:rPr>
                <w:rFonts w:ascii="Arial" w:hAnsi="Arial" w:cs="Arial"/>
                <w:sz w:val="22"/>
                <w:szCs w:val="22"/>
              </w:rPr>
              <w:t>Module enhancement</w:t>
            </w:r>
          </w:p>
          <w:p w14:paraId="2CEF7630" w14:textId="77777777" w:rsidR="00687410" w:rsidRPr="00A87D96" w:rsidRDefault="00687410" w:rsidP="00687410">
            <w:pPr>
              <w:pStyle w:val="NormalWeb"/>
              <w:numPr>
                <w:ilvl w:val="0"/>
                <w:numId w:val="17"/>
              </w:numPr>
              <w:rPr>
                <w:rFonts w:ascii="Arial" w:hAnsi="Arial" w:cs="Arial"/>
                <w:sz w:val="22"/>
                <w:szCs w:val="22"/>
              </w:rPr>
            </w:pPr>
            <w:r w:rsidRPr="00A87D96">
              <w:rPr>
                <w:rFonts w:ascii="Arial" w:hAnsi="Arial" w:cs="Arial"/>
                <w:sz w:val="22"/>
                <w:szCs w:val="22"/>
              </w:rPr>
              <w:t>Curriculum and Timetabling Group consultations</w:t>
            </w:r>
          </w:p>
          <w:p w14:paraId="7995E0BB" w14:textId="77777777" w:rsidR="00687410" w:rsidRPr="00A87D96" w:rsidRDefault="00687410" w:rsidP="00687410">
            <w:pPr>
              <w:pStyle w:val="NormalWeb"/>
              <w:numPr>
                <w:ilvl w:val="0"/>
                <w:numId w:val="17"/>
              </w:numPr>
              <w:rPr>
                <w:rFonts w:ascii="Arial" w:hAnsi="Arial" w:cs="Arial"/>
                <w:sz w:val="22"/>
                <w:szCs w:val="22"/>
              </w:rPr>
            </w:pPr>
            <w:r w:rsidRPr="00A87D96">
              <w:rPr>
                <w:rFonts w:ascii="Arial" w:hAnsi="Arial" w:cs="Arial"/>
                <w:sz w:val="22"/>
                <w:szCs w:val="22"/>
              </w:rPr>
              <w:t>National Student Survey</w:t>
            </w:r>
          </w:p>
          <w:p w14:paraId="4D5FF915" w14:textId="3448AF6C" w:rsidR="00687410" w:rsidRPr="00A87D96" w:rsidRDefault="00687410" w:rsidP="00687410">
            <w:pPr>
              <w:pStyle w:val="NormalWeb"/>
              <w:numPr>
                <w:ilvl w:val="0"/>
                <w:numId w:val="17"/>
              </w:numPr>
              <w:rPr>
                <w:rFonts w:ascii="Arial" w:hAnsi="Arial" w:cs="Arial"/>
                <w:sz w:val="22"/>
                <w:szCs w:val="22"/>
              </w:rPr>
            </w:pPr>
            <w:r w:rsidRPr="00A87D96">
              <w:rPr>
                <w:rFonts w:ascii="Arial" w:hAnsi="Arial" w:cs="Arial"/>
                <w:sz w:val="22"/>
                <w:szCs w:val="22"/>
              </w:rPr>
              <w:t>The School is regularly monitored by Health Education and Improvement Wales (HEIW), primarily for its Dental Therapy and Dental Hygiene programmes, with consistent practices applied across all three programmes.</w:t>
            </w:r>
          </w:p>
          <w:p w14:paraId="75E38ADE" w14:textId="77777777" w:rsidR="00687410" w:rsidRPr="00A87D96" w:rsidRDefault="00687410" w:rsidP="00687410">
            <w:pPr>
              <w:ind w:right="5"/>
            </w:pPr>
            <w:r w:rsidRPr="00A87D96">
              <w:rPr>
                <w:rFonts w:ascii="Arial" w:eastAsia="Calibri" w:hAnsi="Arial" w:cs="Arial"/>
                <w:color w:val="000000" w:themeColor="text1"/>
              </w:rPr>
              <w:t>The panel found the Requirement to be met.</w:t>
            </w:r>
          </w:p>
          <w:p w14:paraId="7F08AE62" w14:textId="77777777" w:rsidR="00E2148E" w:rsidRPr="00A87D96" w:rsidRDefault="00E2148E">
            <w:pPr>
              <w:tabs>
                <w:tab w:val="left" w:pos="720"/>
                <w:tab w:val="left" w:pos="9214"/>
              </w:tabs>
              <w:ind w:right="34"/>
              <w:rPr>
                <w:rFonts w:ascii="Arial" w:eastAsia="Calibri" w:hAnsi="Arial" w:cs="Arial"/>
                <w:b/>
                <w:color w:val="000000" w:themeColor="text1"/>
              </w:rPr>
            </w:pPr>
          </w:p>
          <w:p w14:paraId="0B16EF66" w14:textId="74D48278" w:rsidR="00E2148E" w:rsidRPr="00A87D96" w:rsidRDefault="00E2148E">
            <w:pPr>
              <w:tabs>
                <w:tab w:val="left" w:pos="720"/>
                <w:tab w:val="left" w:pos="9214"/>
              </w:tabs>
              <w:ind w:right="34"/>
              <w:rPr>
                <w:rFonts w:ascii="Arial" w:eastAsia="Calibri" w:hAnsi="Arial" w:cs="Arial"/>
                <w:b/>
                <w:i/>
                <w:color w:val="000000" w:themeColor="text1"/>
              </w:rPr>
            </w:pPr>
            <w:r w:rsidRPr="00A87D96">
              <w:rPr>
                <w:rFonts w:ascii="Arial" w:eastAsia="Calibri" w:hAnsi="Arial" w:cs="Arial"/>
                <w:b/>
                <w:color w:val="000000" w:themeColor="text1"/>
              </w:rPr>
              <w:t>Requirement 12: The provider must have effective systems in place to quality assure placements where students deliver treatment to ensure that patient care and student assessment across all locations meets these Standards. The quality assurance systems should include the regular collection of student and patient feedback relating to placements</w:t>
            </w:r>
            <w:r w:rsidR="005236DF" w:rsidRPr="00A87D96">
              <w:rPr>
                <w:rFonts w:ascii="Arial" w:eastAsia="Calibri" w:hAnsi="Arial" w:cs="Arial"/>
                <w:b/>
                <w:color w:val="000000" w:themeColor="text1"/>
              </w:rPr>
              <w:t>. (</w:t>
            </w:r>
            <w:r w:rsidR="005236DF" w:rsidRPr="00A87D96">
              <w:rPr>
                <w:rFonts w:ascii="Arial" w:eastAsia="Calibri" w:hAnsi="Arial" w:cs="Arial"/>
                <w:b/>
                <w:i/>
                <w:color w:val="000000" w:themeColor="text1"/>
              </w:rPr>
              <w:t>Requirement Met)</w:t>
            </w:r>
          </w:p>
          <w:p w14:paraId="3035139F" w14:textId="75907034" w:rsidR="0090097A" w:rsidRPr="00A87D96" w:rsidRDefault="0090097A" w:rsidP="0090097A">
            <w:pPr>
              <w:pStyle w:val="NormalWeb"/>
              <w:contextualSpacing/>
              <w:rPr>
                <w:rFonts w:ascii="Arial" w:hAnsi="Arial" w:cs="Arial"/>
                <w:sz w:val="22"/>
                <w:szCs w:val="22"/>
              </w:rPr>
            </w:pPr>
            <w:r w:rsidRPr="00A87D96">
              <w:rPr>
                <w:rFonts w:ascii="Arial" w:hAnsi="Arial" w:cs="Arial"/>
                <w:sz w:val="22"/>
                <w:szCs w:val="22"/>
              </w:rPr>
              <w:t xml:space="preserve">Students deliver direct patient care to adults at St David’s Hospital and the Mountain Ash Clinic which are the two main </w:t>
            </w:r>
            <w:r w:rsidR="31AB860D" w:rsidRPr="00A87D96">
              <w:rPr>
                <w:rFonts w:ascii="Arial" w:hAnsi="Arial" w:cs="Arial"/>
                <w:sz w:val="22"/>
                <w:szCs w:val="22"/>
              </w:rPr>
              <w:t>outreach</w:t>
            </w:r>
            <w:r w:rsidRPr="00A87D96">
              <w:rPr>
                <w:rFonts w:ascii="Arial" w:hAnsi="Arial" w:cs="Arial"/>
                <w:sz w:val="22"/>
                <w:szCs w:val="22"/>
              </w:rPr>
              <w:t xml:space="preserve"> sites for Cardiff University. In addition, BDS students undertake clinical placements at Community Dental Service (CDS) centres </w:t>
            </w:r>
            <w:r w:rsidR="45DFE516" w:rsidRPr="00A87D96">
              <w:rPr>
                <w:rFonts w:ascii="Arial" w:hAnsi="Arial" w:cs="Arial"/>
                <w:sz w:val="22"/>
                <w:szCs w:val="22"/>
              </w:rPr>
              <w:t xml:space="preserve">where they provide paediatric care </w:t>
            </w:r>
            <w:r w:rsidRPr="00A87D96">
              <w:rPr>
                <w:rFonts w:ascii="Arial" w:hAnsi="Arial" w:cs="Arial"/>
                <w:sz w:val="22"/>
                <w:szCs w:val="22"/>
              </w:rPr>
              <w:t>and attend Maxillofacial units at District General Hospitals (DGH) in an observational capacity.</w:t>
            </w:r>
          </w:p>
          <w:p w14:paraId="7F3E9AAB" w14:textId="77777777" w:rsidR="0090097A" w:rsidRPr="00A87D96" w:rsidRDefault="0090097A" w:rsidP="0090097A">
            <w:pPr>
              <w:pStyle w:val="NormalWeb"/>
              <w:contextualSpacing/>
              <w:rPr>
                <w:rFonts w:ascii="Arial" w:hAnsi="Arial" w:cs="Arial"/>
                <w:sz w:val="22"/>
                <w:szCs w:val="22"/>
              </w:rPr>
            </w:pPr>
          </w:p>
          <w:p w14:paraId="1FC07F25" w14:textId="412D73FA" w:rsidR="0090097A" w:rsidRPr="00A87D96" w:rsidRDefault="0090097A" w:rsidP="0090097A">
            <w:pPr>
              <w:pStyle w:val="NormalWeb"/>
              <w:contextualSpacing/>
              <w:rPr>
                <w:rFonts w:ascii="Arial" w:hAnsi="Arial" w:cs="Arial"/>
                <w:sz w:val="22"/>
                <w:szCs w:val="22"/>
              </w:rPr>
            </w:pPr>
            <w:r w:rsidRPr="00A87D96">
              <w:rPr>
                <w:rFonts w:ascii="Arial" w:hAnsi="Arial" w:cs="Arial"/>
                <w:sz w:val="22"/>
                <w:szCs w:val="22"/>
              </w:rPr>
              <w:t>In September 2023, the School established a dedicated Working Group to review and enhance the quality assurance (QA) procedures for student outreach placements. As a result of this review, the group revised the QA documentation and recommended the consolidation of the School Placement Lead roles into a single, overarching D</w:t>
            </w:r>
            <w:r w:rsidR="2574DE7F" w:rsidRPr="00A87D96">
              <w:rPr>
                <w:rFonts w:ascii="Arial" w:hAnsi="Arial" w:cs="Arial"/>
                <w:sz w:val="22"/>
                <w:szCs w:val="22"/>
              </w:rPr>
              <w:t xml:space="preserve">irector of </w:t>
            </w:r>
            <w:r w:rsidR="31AB860D" w:rsidRPr="00A87D96">
              <w:rPr>
                <w:rFonts w:ascii="Arial" w:hAnsi="Arial" w:cs="Arial"/>
                <w:sz w:val="22"/>
                <w:szCs w:val="22"/>
              </w:rPr>
              <w:t>Student</w:t>
            </w:r>
            <w:r w:rsidRPr="00A87D96">
              <w:rPr>
                <w:rFonts w:ascii="Arial" w:hAnsi="Arial" w:cs="Arial"/>
                <w:sz w:val="22"/>
                <w:szCs w:val="22"/>
              </w:rPr>
              <w:t xml:space="preserve"> Placement</w:t>
            </w:r>
            <w:r w:rsidR="1EAA0F4A" w:rsidRPr="00A87D96">
              <w:rPr>
                <w:rFonts w:ascii="Arial" w:hAnsi="Arial" w:cs="Arial"/>
                <w:sz w:val="22"/>
                <w:szCs w:val="22"/>
              </w:rPr>
              <w:t>s</w:t>
            </w:r>
            <w:r w:rsidRPr="00A87D96">
              <w:rPr>
                <w:rFonts w:ascii="Arial" w:hAnsi="Arial" w:cs="Arial"/>
                <w:sz w:val="22"/>
                <w:szCs w:val="22"/>
              </w:rPr>
              <w:t xml:space="preserve"> (DSP) position. This role is responsible for overseeing all outreach placements and for identifying and developing new placement opportunities. The new DSP position was appointed in September 2024.</w:t>
            </w:r>
          </w:p>
          <w:p w14:paraId="36DA6D02" w14:textId="77777777" w:rsidR="0090097A" w:rsidRPr="00A87D96" w:rsidRDefault="0090097A" w:rsidP="0090097A">
            <w:pPr>
              <w:pStyle w:val="NormalWeb"/>
              <w:contextualSpacing/>
              <w:rPr>
                <w:rFonts w:ascii="Arial" w:hAnsi="Arial" w:cs="Arial"/>
                <w:sz w:val="22"/>
                <w:szCs w:val="22"/>
              </w:rPr>
            </w:pPr>
          </w:p>
          <w:p w14:paraId="7494B2E6" w14:textId="77777777" w:rsidR="0090097A" w:rsidRPr="00A87D96" w:rsidRDefault="0090097A" w:rsidP="0090097A">
            <w:pPr>
              <w:pStyle w:val="NormalWeb"/>
              <w:contextualSpacing/>
              <w:rPr>
                <w:rFonts w:ascii="Arial" w:hAnsi="Arial" w:cs="Arial"/>
                <w:sz w:val="22"/>
                <w:szCs w:val="22"/>
              </w:rPr>
            </w:pPr>
            <w:r w:rsidRPr="00A87D96">
              <w:rPr>
                <w:rFonts w:ascii="Arial" w:hAnsi="Arial" w:cs="Arial"/>
                <w:sz w:val="22"/>
                <w:szCs w:val="22"/>
              </w:rPr>
              <w:t>Service Level Agreements (SLAs) and Health and Safety Declarations are reviewed annually and signed by both the School of Dentistry and the relevant Health Boards hosting placements. Outreach providers are required to submit an Annual Quality Report at the conclusion of each academic year.</w:t>
            </w:r>
          </w:p>
          <w:p w14:paraId="07A02535" w14:textId="77777777" w:rsidR="0090097A" w:rsidRPr="00A87D96" w:rsidRDefault="0090097A" w:rsidP="0090097A">
            <w:pPr>
              <w:pStyle w:val="NormalWeb"/>
              <w:contextualSpacing/>
              <w:rPr>
                <w:rFonts w:ascii="Arial" w:hAnsi="Arial" w:cs="Arial"/>
                <w:sz w:val="22"/>
                <w:szCs w:val="22"/>
              </w:rPr>
            </w:pPr>
          </w:p>
          <w:p w14:paraId="25C01B47" w14:textId="77777777" w:rsidR="0090097A" w:rsidRPr="00A87D96" w:rsidRDefault="0090097A" w:rsidP="0090097A">
            <w:pPr>
              <w:pStyle w:val="NormalWeb"/>
              <w:contextualSpacing/>
              <w:rPr>
                <w:rFonts w:ascii="Arial" w:hAnsi="Arial" w:cs="Arial"/>
                <w:sz w:val="22"/>
                <w:szCs w:val="22"/>
              </w:rPr>
            </w:pPr>
            <w:r w:rsidRPr="00A87D96">
              <w:rPr>
                <w:rFonts w:ascii="Arial" w:hAnsi="Arial" w:cs="Arial"/>
                <w:sz w:val="22"/>
                <w:szCs w:val="22"/>
              </w:rPr>
              <w:t>Students are also required to complete placement feedback questionnaires upon completion of each placement. These are reviewed by the DSP and Placement Leads to inform ongoing quality assurance and improvement efforts.</w:t>
            </w:r>
          </w:p>
          <w:p w14:paraId="55E32F09" w14:textId="77777777" w:rsidR="0090097A" w:rsidRPr="00A87D96" w:rsidRDefault="0090097A" w:rsidP="0090097A">
            <w:pPr>
              <w:pStyle w:val="NormalWeb"/>
              <w:contextualSpacing/>
              <w:rPr>
                <w:rFonts w:ascii="Arial" w:hAnsi="Arial" w:cs="Arial"/>
                <w:sz w:val="22"/>
                <w:szCs w:val="22"/>
              </w:rPr>
            </w:pPr>
          </w:p>
          <w:p w14:paraId="261D83C1" w14:textId="77777777" w:rsidR="00906DD0" w:rsidRPr="00A87D96" w:rsidRDefault="0090097A" w:rsidP="0090097A">
            <w:pPr>
              <w:pStyle w:val="NormalWeb"/>
              <w:contextualSpacing/>
              <w:rPr>
                <w:rFonts w:ascii="Arial" w:hAnsi="Arial" w:cs="Arial"/>
                <w:sz w:val="22"/>
                <w:szCs w:val="22"/>
              </w:rPr>
            </w:pPr>
            <w:r w:rsidRPr="00A87D96">
              <w:rPr>
                <w:rFonts w:ascii="Arial" w:hAnsi="Arial" w:cs="Arial"/>
                <w:sz w:val="22"/>
                <w:szCs w:val="22"/>
              </w:rPr>
              <w:t>The panel found the Requirement to be met.</w:t>
            </w:r>
          </w:p>
          <w:p w14:paraId="1061E37F" w14:textId="5EE09194" w:rsidR="0090097A" w:rsidRPr="00A87D96" w:rsidRDefault="0090097A" w:rsidP="0090097A">
            <w:pPr>
              <w:pStyle w:val="NormalWeb"/>
              <w:contextualSpacing/>
              <w:rPr>
                <w:rFonts w:ascii="Arial" w:hAnsi="Arial" w:cs="Arial"/>
                <w:sz w:val="22"/>
                <w:szCs w:val="22"/>
              </w:rPr>
            </w:pPr>
          </w:p>
        </w:tc>
      </w:tr>
      <w:tr w:rsidR="00E2148E" w:rsidRPr="00165533" w14:paraId="0977AE07" w14:textId="77777777" w:rsidTr="477A49B1">
        <w:tc>
          <w:tcPr>
            <w:tcW w:w="9464" w:type="dxa"/>
            <w:gridSpan w:val="3"/>
            <w:shd w:val="clear" w:color="auto" w:fill="2F5496" w:themeFill="accent1" w:themeFillShade="BF"/>
          </w:tcPr>
          <w:p w14:paraId="1C2EFFFA" w14:textId="77777777" w:rsidR="0090097A" w:rsidRPr="00A87D96" w:rsidRDefault="00E2148E">
            <w:pPr>
              <w:rPr>
                <w:rFonts w:ascii="Arial" w:hAnsi="Arial" w:cs="Arial"/>
              </w:rPr>
            </w:pPr>
            <w:r w:rsidRPr="00A87D96">
              <w:rPr>
                <w:rFonts w:ascii="Arial" w:hAnsi="Arial" w:cs="Arial"/>
              </w:rPr>
              <w:lastRenderedPageBreak/>
              <w:br w:type="page"/>
            </w:r>
          </w:p>
          <w:p w14:paraId="3A93300A" w14:textId="5554402E" w:rsidR="00E2148E" w:rsidRPr="00A87D96" w:rsidRDefault="00E2148E">
            <w:pPr>
              <w:rPr>
                <w:rFonts w:ascii="Arial" w:hAnsi="Arial" w:cs="Arial"/>
                <w:b/>
                <w:color w:val="FFFFFF" w:themeColor="background1"/>
                <w:sz w:val="24"/>
                <w:szCs w:val="24"/>
              </w:rPr>
            </w:pPr>
            <w:r w:rsidRPr="00A87D96">
              <w:rPr>
                <w:rFonts w:ascii="Arial" w:hAnsi="Arial" w:cs="Arial"/>
                <w:b/>
                <w:color w:val="FFFFFF" w:themeColor="background1"/>
                <w:sz w:val="24"/>
                <w:szCs w:val="24"/>
              </w:rPr>
              <w:t xml:space="preserve">Standard 3 </w:t>
            </w:r>
            <w:r w:rsidR="00921E49" w:rsidRPr="00A87D96">
              <w:rPr>
                <w:rFonts w:ascii="Arial" w:hAnsi="Arial" w:cs="Arial"/>
                <w:b/>
                <w:color w:val="FFFFFF" w:themeColor="background1"/>
                <w:sz w:val="24"/>
                <w:szCs w:val="24"/>
              </w:rPr>
              <w:t xml:space="preserve">- </w:t>
            </w:r>
            <w:r w:rsidRPr="00A87D96">
              <w:rPr>
                <w:rFonts w:ascii="Arial" w:hAnsi="Arial" w:cs="Arial"/>
                <w:b/>
                <w:color w:val="FFFFFF" w:themeColor="background1"/>
                <w:sz w:val="24"/>
                <w:szCs w:val="24"/>
              </w:rPr>
              <w:t>Student assessment</w:t>
            </w:r>
          </w:p>
          <w:p w14:paraId="04155E82" w14:textId="77777777" w:rsidR="00E2148E" w:rsidRPr="00A87D96" w:rsidRDefault="00E2148E">
            <w:pPr>
              <w:rPr>
                <w:rFonts w:ascii="Arial" w:eastAsia="Calibri" w:hAnsi="Arial" w:cs="Arial"/>
                <w:bCs/>
                <w:color w:val="FFFFFF" w:themeColor="background1"/>
                <w:sz w:val="24"/>
                <w:szCs w:val="24"/>
              </w:rPr>
            </w:pPr>
            <w:r w:rsidRPr="00A87D96">
              <w:rPr>
                <w:rFonts w:ascii="Arial" w:eastAsia="Calibri" w:hAnsi="Arial" w:cs="Arial"/>
                <w:bCs/>
                <w:color w:val="FFFFFF" w:themeColor="background1"/>
                <w:sz w:val="24"/>
                <w:szCs w:val="24"/>
              </w:rPr>
              <w:t>Assessment must be reliable and valid. The choice of assessment method must be appropriate to demonstrate achievement of the GDC learning outcomes. Assessors must be fit to perform the assessment task.</w:t>
            </w:r>
          </w:p>
          <w:p w14:paraId="3BA6CF9E" w14:textId="77777777" w:rsidR="0090097A" w:rsidRPr="00A87D96" w:rsidRDefault="0090097A">
            <w:pPr>
              <w:rPr>
                <w:rFonts w:ascii="Arial" w:hAnsi="Arial" w:cs="Arial"/>
                <w:b/>
                <w:color w:val="FFFFFF" w:themeColor="background1"/>
              </w:rPr>
            </w:pPr>
          </w:p>
        </w:tc>
      </w:tr>
      <w:tr w:rsidR="00E2148E" w:rsidRPr="00165533" w14:paraId="61F97003" w14:textId="77777777" w:rsidTr="477A49B1">
        <w:trPr>
          <w:trHeight w:val="1266"/>
        </w:trPr>
        <w:tc>
          <w:tcPr>
            <w:tcW w:w="9464" w:type="dxa"/>
            <w:gridSpan w:val="3"/>
          </w:tcPr>
          <w:p w14:paraId="51B375BD" w14:textId="77777777" w:rsidR="00E2148E" w:rsidRPr="00A87D96" w:rsidRDefault="00E2148E">
            <w:pPr>
              <w:tabs>
                <w:tab w:val="left" w:pos="356"/>
                <w:tab w:val="left" w:pos="9248"/>
              </w:tabs>
              <w:rPr>
                <w:rFonts w:ascii="Arial" w:eastAsia="Calibri" w:hAnsi="Arial" w:cs="Arial"/>
                <w:b/>
                <w:color w:val="000000" w:themeColor="text1"/>
              </w:rPr>
            </w:pPr>
          </w:p>
          <w:p w14:paraId="6CB8C45A" w14:textId="5F1EFED0" w:rsidR="00E2148E" w:rsidRPr="00A87D96" w:rsidRDefault="00E2148E">
            <w:pPr>
              <w:tabs>
                <w:tab w:val="left" w:pos="356"/>
                <w:tab w:val="left" w:pos="9248"/>
              </w:tabs>
              <w:rPr>
                <w:rFonts w:ascii="Arial" w:eastAsia="Calibri" w:hAnsi="Arial" w:cs="Arial"/>
                <w:b/>
                <w:i/>
                <w:color w:val="000000" w:themeColor="text1"/>
              </w:rPr>
            </w:pPr>
            <w:r w:rsidRPr="00A87D96">
              <w:rPr>
                <w:rFonts w:ascii="Arial" w:eastAsia="Calibri" w:hAnsi="Arial" w:cs="Arial"/>
                <w:b/>
                <w:color w:val="000000" w:themeColor="text1"/>
              </w:rPr>
              <w:t>Requirement 13: To award the qualification, providers must be assured that students have demonstrated attainment across the full range of learning outcomes, and that they are fit to practise at the level of a safe beginner. Evidence must be provided that demonstrates this assurance, which should be supported by a coherent approach to the principles of assessment referred to in these standards</w:t>
            </w:r>
            <w:r w:rsidR="0090097A" w:rsidRPr="00A87D96">
              <w:rPr>
                <w:rFonts w:ascii="Arial" w:eastAsia="Calibri" w:hAnsi="Arial" w:cs="Arial"/>
                <w:b/>
                <w:color w:val="000000" w:themeColor="text1"/>
              </w:rPr>
              <w:t>. (</w:t>
            </w:r>
            <w:r w:rsidR="0090097A" w:rsidRPr="00A87D96">
              <w:rPr>
                <w:rFonts w:ascii="Arial" w:eastAsia="Calibri" w:hAnsi="Arial" w:cs="Arial"/>
                <w:b/>
                <w:i/>
                <w:color w:val="000000" w:themeColor="text1"/>
              </w:rPr>
              <w:t>Requirement Met)</w:t>
            </w:r>
          </w:p>
          <w:p w14:paraId="61F30E23" w14:textId="77777777" w:rsidR="00247C47" w:rsidRPr="00A87D96" w:rsidRDefault="00247C47" w:rsidP="00247C47">
            <w:pPr>
              <w:pStyle w:val="NormalWeb"/>
              <w:rPr>
                <w:rFonts w:ascii="Arial" w:hAnsi="Arial" w:cs="Arial"/>
                <w:sz w:val="22"/>
                <w:szCs w:val="22"/>
              </w:rPr>
            </w:pPr>
            <w:r w:rsidRPr="00A87D96">
              <w:rPr>
                <w:rFonts w:ascii="Arial" w:hAnsi="Arial" w:cs="Arial"/>
                <w:sz w:val="22"/>
                <w:szCs w:val="22"/>
              </w:rPr>
              <w:t>Each unit of study delivered within the School comprising topics is supported by a comprehensive topic or module guide. These guides outline the learning outcomes for each learning event, enabling students to monitor their progress and effectively prepare for both teaching sessions and assessments.</w:t>
            </w:r>
          </w:p>
          <w:p w14:paraId="44724781" w14:textId="77777777" w:rsidR="00247C47" w:rsidRPr="00A87D96" w:rsidRDefault="00247C47" w:rsidP="00247C47">
            <w:pPr>
              <w:pStyle w:val="NormalWeb"/>
              <w:rPr>
                <w:rFonts w:ascii="Arial" w:hAnsi="Arial" w:cs="Arial"/>
                <w:sz w:val="22"/>
                <w:szCs w:val="22"/>
              </w:rPr>
            </w:pPr>
            <w:r w:rsidRPr="00A87D96">
              <w:rPr>
                <w:rFonts w:ascii="Arial" w:hAnsi="Arial" w:cs="Arial"/>
                <w:sz w:val="22"/>
                <w:szCs w:val="22"/>
              </w:rPr>
              <w:t>Additionally, each undergraduate cohort receives an Assessment and Feedback Handbook, which provides a detailed schedule of all formative and summative assessments for the academic year.</w:t>
            </w:r>
          </w:p>
          <w:p w14:paraId="6F2E0431" w14:textId="77777777" w:rsidR="00247C47" w:rsidRPr="00A87D96" w:rsidRDefault="00247C47" w:rsidP="00247C47">
            <w:pPr>
              <w:pStyle w:val="NormalWeb"/>
              <w:rPr>
                <w:rFonts w:ascii="Arial" w:hAnsi="Arial" w:cs="Arial"/>
                <w:sz w:val="22"/>
                <w:szCs w:val="22"/>
              </w:rPr>
            </w:pPr>
            <w:r w:rsidRPr="00A87D96">
              <w:rPr>
                <w:rFonts w:ascii="Arial" w:hAnsi="Arial" w:cs="Arial"/>
                <w:sz w:val="22"/>
                <w:szCs w:val="22"/>
              </w:rPr>
              <w:t>The programme is fully aligned with the current GDC learning outcomes and is also in the process of being mapped to the new Safe Practitioner Framework of learning outcomes and behaviours, effective from 1 August 2025. The curriculum is structured into modules, each overseen by a designated coordinator responsible for the module guide and associated assessments.</w:t>
            </w:r>
          </w:p>
          <w:p w14:paraId="5363ADF5" w14:textId="77777777" w:rsidR="00247C47" w:rsidRPr="00A87D96" w:rsidRDefault="00247C47" w:rsidP="00247C47">
            <w:pPr>
              <w:pStyle w:val="NormalWeb"/>
              <w:rPr>
                <w:rFonts w:ascii="Arial" w:hAnsi="Arial" w:cs="Arial"/>
                <w:sz w:val="22"/>
                <w:szCs w:val="22"/>
              </w:rPr>
            </w:pPr>
            <w:r w:rsidRPr="00A87D96">
              <w:rPr>
                <w:rFonts w:ascii="Arial" w:hAnsi="Arial" w:cs="Arial"/>
                <w:sz w:val="22"/>
                <w:szCs w:val="22"/>
              </w:rPr>
              <w:t xml:space="preserve">During the inspection, clinical progression data, assessment timetables, module guides, and examples of student portfolios were made available for review. </w:t>
            </w:r>
          </w:p>
          <w:p w14:paraId="075191BB" w14:textId="7C588027" w:rsidR="00E2148E" w:rsidRPr="00A87D96" w:rsidRDefault="00247C47" w:rsidP="00247C47">
            <w:pPr>
              <w:pStyle w:val="NormalWeb"/>
              <w:rPr>
                <w:rFonts w:ascii="Arial" w:hAnsi="Arial" w:cs="Arial"/>
                <w:sz w:val="22"/>
                <w:szCs w:val="22"/>
              </w:rPr>
            </w:pPr>
            <w:r w:rsidRPr="00A87D96">
              <w:rPr>
                <w:rFonts w:ascii="Arial" w:hAnsi="Arial" w:cs="Arial"/>
                <w:sz w:val="22"/>
                <w:szCs w:val="22"/>
              </w:rPr>
              <w:t>The panel found the requirement to be met.</w:t>
            </w:r>
          </w:p>
          <w:p w14:paraId="2BC30CD1" w14:textId="19E0CFFC" w:rsidR="00E2148E" w:rsidRPr="00A87D96" w:rsidRDefault="00E2148E">
            <w:pPr>
              <w:tabs>
                <w:tab w:val="left" w:pos="720"/>
                <w:tab w:val="left" w:pos="9248"/>
              </w:tabs>
              <w:rPr>
                <w:rFonts w:ascii="Arial" w:eastAsia="Calibri" w:hAnsi="Arial" w:cs="Arial"/>
                <w:b/>
                <w:i/>
                <w:color w:val="000000" w:themeColor="text1"/>
              </w:rPr>
            </w:pPr>
            <w:r w:rsidRPr="00A87D96">
              <w:rPr>
                <w:rFonts w:ascii="Arial" w:eastAsia="Calibri" w:hAnsi="Arial" w:cs="Arial"/>
                <w:b/>
                <w:color w:val="000000" w:themeColor="text1"/>
              </w:rPr>
              <w:t>Requirement 14: The provider must have in place management systems to plan, monitor and centrally record the assessment of students, including the monitoring of clinical and/or technical experience, throughout the programme against each of the learning outcomes</w:t>
            </w:r>
            <w:r w:rsidR="0090097A" w:rsidRPr="00A87D96">
              <w:rPr>
                <w:rFonts w:ascii="Arial" w:eastAsia="Calibri" w:hAnsi="Arial" w:cs="Arial"/>
                <w:b/>
                <w:color w:val="000000" w:themeColor="text1"/>
              </w:rPr>
              <w:t>. (</w:t>
            </w:r>
            <w:r w:rsidR="0090097A" w:rsidRPr="00A87D96">
              <w:rPr>
                <w:rFonts w:ascii="Arial" w:eastAsia="Calibri" w:hAnsi="Arial" w:cs="Arial"/>
                <w:b/>
                <w:i/>
                <w:color w:val="000000" w:themeColor="text1"/>
              </w:rPr>
              <w:t>Requirement Met)</w:t>
            </w:r>
          </w:p>
          <w:p w14:paraId="3FB787EF" w14:textId="77777777" w:rsidR="00D73577" w:rsidRPr="00A87D96" w:rsidRDefault="00D73577" w:rsidP="00D73577">
            <w:pPr>
              <w:pStyle w:val="NormalWeb"/>
              <w:contextualSpacing/>
              <w:rPr>
                <w:rFonts w:ascii="Arial" w:hAnsi="Arial" w:cs="Arial"/>
                <w:sz w:val="22"/>
                <w:szCs w:val="22"/>
              </w:rPr>
            </w:pPr>
            <w:r w:rsidRPr="00A87D96">
              <w:rPr>
                <w:rFonts w:ascii="Arial" w:hAnsi="Arial" w:cs="Arial"/>
                <w:sz w:val="22"/>
                <w:szCs w:val="22"/>
              </w:rPr>
              <w:t>Assessment grades and outcomes are recorded on the University’s central recording system, SIMS.</w:t>
            </w:r>
          </w:p>
          <w:p w14:paraId="7EE6B596" w14:textId="77777777" w:rsidR="00D73577" w:rsidRPr="00A87D96" w:rsidRDefault="00D73577" w:rsidP="00D73577">
            <w:pPr>
              <w:pStyle w:val="NormalWeb"/>
              <w:contextualSpacing/>
              <w:rPr>
                <w:rFonts w:ascii="Arial" w:hAnsi="Arial" w:cs="Arial"/>
                <w:sz w:val="22"/>
                <w:szCs w:val="22"/>
              </w:rPr>
            </w:pPr>
          </w:p>
          <w:p w14:paraId="73D12C8E" w14:textId="77777777" w:rsidR="00D73577" w:rsidRPr="00A87D96" w:rsidRDefault="00D73577" w:rsidP="00D73577">
            <w:pPr>
              <w:pStyle w:val="NormalWeb"/>
              <w:contextualSpacing/>
              <w:rPr>
                <w:rFonts w:ascii="Arial" w:hAnsi="Arial" w:cs="Arial"/>
                <w:sz w:val="22"/>
                <w:szCs w:val="22"/>
              </w:rPr>
            </w:pPr>
            <w:r w:rsidRPr="00A87D96">
              <w:rPr>
                <w:rFonts w:ascii="Arial" w:hAnsi="Arial" w:cs="Arial"/>
                <w:sz w:val="22"/>
                <w:szCs w:val="22"/>
              </w:rPr>
              <w:t>CAFS is used in all clinical placements within, and outside the dental hospital. A programme of training for staff and students was undertaken prior to the launch and remains available for reference.</w:t>
            </w:r>
          </w:p>
          <w:p w14:paraId="3AA74789" w14:textId="77777777" w:rsidR="00D73577" w:rsidRPr="00A87D96" w:rsidRDefault="00D73577" w:rsidP="00D73577">
            <w:pPr>
              <w:tabs>
                <w:tab w:val="left" w:pos="720"/>
              </w:tabs>
              <w:ind w:right="5"/>
              <w:contextualSpacing/>
            </w:pPr>
            <w:r w:rsidRPr="00A87D96">
              <w:rPr>
                <w:rFonts w:ascii="Arial" w:eastAsia="Calibri" w:hAnsi="Arial" w:cs="Arial"/>
                <w:color w:val="000000" w:themeColor="text1"/>
              </w:rPr>
              <w:t>The panel found the Requirement to be met.</w:t>
            </w:r>
          </w:p>
          <w:p w14:paraId="74CF75A1" w14:textId="77777777" w:rsidR="00E2148E" w:rsidRPr="00A87D96" w:rsidRDefault="00E2148E">
            <w:pPr>
              <w:tabs>
                <w:tab w:val="left" w:pos="720"/>
                <w:tab w:val="left" w:pos="9248"/>
              </w:tabs>
              <w:rPr>
                <w:rFonts w:ascii="Arial" w:eastAsia="Calibri" w:hAnsi="Arial" w:cs="Arial"/>
                <w:color w:val="000000" w:themeColor="text1"/>
              </w:rPr>
            </w:pPr>
          </w:p>
          <w:p w14:paraId="648F5D8E" w14:textId="77777777" w:rsidR="006E13ED" w:rsidRPr="00A87D96" w:rsidRDefault="00E2148E" w:rsidP="006E13ED">
            <w:pPr>
              <w:tabs>
                <w:tab w:val="left" w:pos="720"/>
                <w:tab w:val="left" w:pos="9248"/>
              </w:tabs>
              <w:rPr>
                <w:rFonts w:ascii="Arial" w:eastAsia="Calibri" w:hAnsi="Arial" w:cs="Arial"/>
                <w:b/>
                <w:i/>
                <w:color w:val="000000" w:themeColor="text1"/>
              </w:rPr>
            </w:pPr>
            <w:r w:rsidRPr="00A87D96">
              <w:rPr>
                <w:rFonts w:ascii="Arial" w:eastAsia="Calibri" w:hAnsi="Arial" w:cs="Arial"/>
                <w:b/>
                <w:color w:val="000000" w:themeColor="text1"/>
              </w:rPr>
              <w:t>Requirement 15: Students must have exposure to an appropriate breadth of patients/procedures and should undertake each activity relating to patient care on sufficient occasions to enable them to develop the skills and the level of competency to achieve the relevant GDC learning outcomes</w:t>
            </w:r>
            <w:r w:rsidR="0090097A" w:rsidRPr="00A87D96">
              <w:rPr>
                <w:rFonts w:ascii="Arial" w:eastAsia="Calibri" w:hAnsi="Arial" w:cs="Arial"/>
                <w:b/>
                <w:color w:val="000000" w:themeColor="text1"/>
              </w:rPr>
              <w:t>. (</w:t>
            </w:r>
            <w:r w:rsidR="0090097A" w:rsidRPr="00A87D96">
              <w:rPr>
                <w:rFonts w:ascii="Arial" w:eastAsia="Calibri" w:hAnsi="Arial" w:cs="Arial"/>
                <w:b/>
                <w:i/>
                <w:color w:val="000000" w:themeColor="text1"/>
              </w:rPr>
              <w:t>Requirement Partly Met)</w:t>
            </w:r>
          </w:p>
          <w:p w14:paraId="2B77EB92" w14:textId="4F31EB4A" w:rsidR="00D30E54" w:rsidRPr="00A87D96" w:rsidRDefault="00D30E54" w:rsidP="00D30E54">
            <w:pPr>
              <w:pStyle w:val="NormalWeb"/>
              <w:contextualSpacing/>
              <w:rPr>
                <w:rFonts w:ascii="Arial" w:hAnsi="Arial" w:cs="Arial"/>
                <w:sz w:val="22"/>
                <w:szCs w:val="22"/>
              </w:rPr>
            </w:pPr>
            <w:r w:rsidRPr="00A87D96">
              <w:rPr>
                <w:rFonts w:ascii="Arial" w:hAnsi="Arial" w:cs="Arial"/>
                <w:sz w:val="22"/>
                <w:szCs w:val="22"/>
              </w:rPr>
              <w:t>Patients are recruited to the adult restorative undergraduate clinics through a variety of pathways. The waiting list of screened patients is regularly reviewed by the Clinical Academic Lead and the Undergraduate Programme Leads to ensure an appropriate number and mix of cases are available to support students' educational development.</w:t>
            </w:r>
            <w:r w:rsidR="0089334A" w:rsidRPr="00A87D96">
              <w:rPr>
                <w:rFonts w:ascii="Arial" w:hAnsi="Arial" w:cs="Arial"/>
                <w:sz w:val="22"/>
                <w:szCs w:val="22"/>
              </w:rPr>
              <w:t xml:space="preserve"> Students are actively encouraged to engage in shared care across different year groups and programmes, facilitated through the Adult Student Treatment List </w:t>
            </w:r>
            <w:r w:rsidR="14CCFCB0" w:rsidRPr="00A87D96">
              <w:rPr>
                <w:rFonts w:ascii="Arial" w:hAnsi="Arial" w:cs="Arial"/>
                <w:sz w:val="22"/>
                <w:szCs w:val="22"/>
              </w:rPr>
              <w:t>form.</w:t>
            </w:r>
            <w:r w:rsidR="00A87D96" w:rsidRPr="00A87D96">
              <w:rPr>
                <w:rFonts w:ascii="Arial" w:hAnsi="Arial" w:cs="Arial"/>
                <w:sz w:val="22"/>
                <w:szCs w:val="22"/>
              </w:rPr>
              <w:t xml:space="preserve"> </w:t>
            </w:r>
            <w:r w:rsidR="6363A23E" w:rsidRPr="00A87D96">
              <w:rPr>
                <w:rFonts w:ascii="Arial" w:hAnsi="Arial" w:cs="Arial"/>
                <w:sz w:val="22"/>
                <w:szCs w:val="22"/>
              </w:rPr>
              <w:t xml:space="preserve">Paediatric patients are </w:t>
            </w:r>
            <w:r w:rsidR="61956F92" w:rsidRPr="00A87D96">
              <w:rPr>
                <w:rFonts w:ascii="Arial" w:hAnsi="Arial" w:cs="Arial"/>
                <w:sz w:val="22"/>
                <w:szCs w:val="22"/>
              </w:rPr>
              <w:t>referred</w:t>
            </w:r>
            <w:r w:rsidR="6363A23E" w:rsidRPr="00A87D96">
              <w:rPr>
                <w:rFonts w:ascii="Arial" w:hAnsi="Arial" w:cs="Arial"/>
                <w:sz w:val="22"/>
                <w:szCs w:val="22"/>
              </w:rPr>
              <w:t xml:space="preserve"> from the Paediatric Consultant Clinic to the student-led Paediatric Clinic for the completion of treatment in accordance with a predetermined consultant-approved treatment plan. In instances where </w:t>
            </w:r>
            <w:r w:rsidR="6363A23E" w:rsidRPr="00A87D96">
              <w:rPr>
                <w:rFonts w:ascii="Arial" w:hAnsi="Arial" w:cs="Arial"/>
                <w:sz w:val="22"/>
                <w:szCs w:val="22"/>
              </w:rPr>
              <w:lastRenderedPageBreak/>
              <w:t xml:space="preserve">treatment plans require modification, students are appropriately supported and supervised by qualified clinical staff. Additionally, students are given the opportunity to observe </w:t>
            </w:r>
            <w:r w:rsidR="324A4EB8" w:rsidRPr="00A87D96">
              <w:rPr>
                <w:rFonts w:ascii="Arial" w:hAnsi="Arial" w:cs="Arial"/>
                <w:sz w:val="22"/>
                <w:szCs w:val="22"/>
              </w:rPr>
              <w:t xml:space="preserve">and assist in </w:t>
            </w:r>
            <w:r w:rsidR="6363A23E" w:rsidRPr="00A87D96">
              <w:rPr>
                <w:rFonts w:ascii="Arial" w:hAnsi="Arial" w:cs="Arial"/>
                <w:sz w:val="22"/>
                <w:szCs w:val="22"/>
              </w:rPr>
              <w:t>the Paediatric Emergency Clinic as part of their training.</w:t>
            </w:r>
            <w:r w:rsidR="6DE78E67" w:rsidRPr="00A87D96">
              <w:rPr>
                <w:rFonts w:ascii="Arial" w:hAnsi="Arial" w:cs="Arial"/>
                <w:sz w:val="22"/>
                <w:szCs w:val="22"/>
              </w:rPr>
              <w:t xml:space="preserve">  Students </w:t>
            </w:r>
            <w:r w:rsidR="1653F70C" w:rsidRPr="00A87D96">
              <w:rPr>
                <w:rFonts w:ascii="Arial" w:hAnsi="Arial" w:cs="Arial"/>
                <w:sz w:val="22"/>
                <w:szCs w:val="22"/>
              </w:rPr>
              <w:t xml:space="preserve">within Year 5 </w:t>
            </w:r>
            <w:r w:rsidR="6DE78E67" w:rsidRPr="00A87D96">
              <w:rPr>
                <w:rFonts w:ascii="Arial" w:hAnsi="Arial" w:cs="Arial"/>
                <w:sz w:val="22"/>
                <w:szCs w:val="22"/>
              </w:rPr>
              <w:t xml:space="preserve">undertake </w:t>
            </w:r>
            <w:r w:rsidR="00A87D96" w:rsidRPr="00A87D96">
              <w:rPr>
                <w:rFonts w:ascii="Arial" w:hAnsi="Arial" w:cs="Arial"/>
                <w:sz w:val="22"/>
                <w:szCs w:val="22"/>
              </w:rPr>
              <w:t>2-week</w:t>
            </w:r>
            <w:r w:rsidR="6DE78E67" w:rsidRPr="00A87D96">
              <w:rPr>
                <w:rFonts w:ascii="Arial" w:hAnsi="Arial" w:cs="Arial"/>
                <w:sz w:val="22"/>
                <w:szCs w:val="22"/>
              </w:rPr>
              <w:t xml:space="preserve"> residential clinical placement at a Community Dental Service in North </w:t>
            </w:r>
            <w:r w:rsidR="7EE30A58" w:rsidRPr="00A87D96">
              <w:rPr>
                <w:rFonts w:ascii="Arial" w:hAnsi="Arial" w:cs="Arial"/>
                <w:sz w:val="22"/>
                <w:szCs w:val="22"/>
              </w:rPr>
              <w:t>Wales and</w:t>
            </w:r>
            <w:r w:rsidR="6DE78E67" w:rsidRPr="00A87D96">
              <w:rPr>
                <w:rFonts w:ascii="Arial" w:hAnsi="Arial" w:cs="Arial"/>
                <w:sz w:val="22"/>
                <w:szCs w:val="22"/>
              </w:rPr>
              <w:t xml:space="preserve"> attend Community Dental Service</w:t>
            </w:r>
            <w:r w:rsidR="14A08EF2" w:rsidRPr="00A87D96">
              <w:rPr>
                <w:rFonts w:ascii="Arial" w:hAnsi="Arial" w:cs="Arial"/>
                <w:sz w:val="22"/>
                <w:szCs w:val="22"/>
              </w:rPr>
              <w:t xml:space="preserve"> clinics in South Wales where they provide Paediatric dental care. </w:t>
            </w:r>
          </w:p>
          <w:p w14:paraId="76E305FE" w14:textId="77777777" w:rsidR="00E97247" w:rsidRPr="00A87D96" w:rsidRDefault="00E97247" w:rsidP="00E97247">
            <w:pPr>
              <w:tabs>
                <w:tab w:val="left" w:pos="720"/>
              </w:tabs>
              <w:ind w:right="5"/>
              <w:contextualSpacing/>
              <w:rPr>
                <w:rFonts w:ascii="Arial" w:hAnsi="Arial" w:cs="Arial"/>
              </w:rPr>
            </w:pPr>
            <w:r w:rsidRPr="00A87D96">
              <w:rPr>
                <w:rFonts w:ascii="Arial" w:hAnsi="Arial" w:cs="Arial"/>
              </w:rPr>
              <w:t>Recent student feedback has highlighted concerns regarding limited clinical exposure to paediatric patients. This is partly due to inconsistent patient attendance, often caused by difficulties in contacting parents or guardians for appointment reminders. Additionally, students have limited opportunities to provide ongoing care, which restricts their ability to observe the outcomes of their efforts in acclimatising and managing anxious child patients.</w:t>
            </w:r>
          </w:p>
          <w:p w14:paraId="7E69DA81" w14:textId="77777777" w:rsidR="00E97247" w:rsidRPr="00A87D96" w:rsidRDefault="00E97247" w:rsidP="00E97247">
            <w:pPr>
              <w:tabs>
                <w:tab w:val="left" w:pos="720"/>
              </w:tabs>
              <w:ind w:right="5"/>
              <w:contextualSpacing/>
              <w:rPr>
                <w:rFonts w:ascii="Arial" w:hAnsi="Arial" w:cs="Arial"/>
              </w:rPr>
            </w:pPr>
          </w:p>
          <w:p w14:paraId="3DF0832B" w14:textId="77777777" w:rsidR="00E97247" w:rsidRPr="00A87D96" w:rsidRDefault="00E97247" w:rsidP="00E97247">
            <w:pPr>
              <w:tabs>
                <w:tab w:val="left" w:pos="720"/>
              </w:tabs>
              <w:ind w:right="5"/>
              <w:contextualSpacing/>
              <w:rPr>
                <w:rFonts w:ascii="Arial" w:hAnsi="Arial" w:cs="Arial"/>
              </w:rPr>
            </w:pPr>
            <w:r w:rsidRPr="00A87D96">
              <w:rPr>
                <w:rFonts w:ascii="Arial" w:hAnsi="Arial" w:cs="Arial"/>
              </w:rPr>
              <w:t>Although Cardiff University has established procedures intended to support this aspect of clinical education, students report that these measures are not consistently providing the necessary level of exposure. As a result, some students feel inadequately prepared to manage paediatric cases upon graduation.</w:t>
            </w:r>
          </w:p>
          <w:p w14:paraId="3F96D783" w14:textId="77777777" w:rsidR="00D30E54" w:rsidRPr="00A87D96" w:rsidRDefault="00D30E54" w:rsidP="00D30E54">
            <w:pPr>
              <w:tabs>
                <w:tab w:val="left" w:pos="720"/>
              </w:tabs>
              <w:ind w:right="5"/>
              <w:contextualSpacing/>
              <w:rPr>
                <w:rFonts w:ascii="Arial" w:hAnsi="Arial" w:cs="Arial"/>
              </w:rPr>
            </w:pPr>
          </w:p>
          <w:p w14:paraId="18D68C3E" w14:textId="77777777" w:rsidR="00D30E54" w:rsidRPr="00A87D96" w:rsidRDefault="00D30E54" w:rsidP="00D30E54">
            <w:pPr>
              <w:tabs>
                <w:tab w:val="left" w:pos="720"/>
              </w:tabs>
              <w:ind w:right="5"/>
              <w:contextualSpacing/>
              <w:rPr>
                <w:rFonts w:ascii="Arial" w:hAnsi="Arial" w:cs="Arial"/>
              </w:rPr>
            </w:pPr>
            <w:r w:rsidRPr="00A87D96">
              <w:rPr>
                <w:rFonts w:ascii="Arial" w:eastAsia="Calibri" w:hAnsi="Arial" w:cs="Arial"/>
                <w:color w:val="000000" w:themeColor="text1"/>
              </w:rPr>
              <w:t>The panel found the Requirement to be partly met.</w:t>
            </w:r>
          </w:p>
          <w:p w14:paraId="73D66A6A" w14:textId="77777777" w:rsidR="00E2148E" w:rsidRPr="00A87D96" w:rsidRDefault="00E2148E">
            <w:pPr>
              <w:tabs>
                <w:tab w:val="left" w:pos="720"/>
                <w:tab w:val="left" w:pos="9248"/>
              </w:tabs>
              <w:rPr>
                <w:rFonts w:ascii="Arial" w:eastAsia="Calibri" w:hAnsi="Arial" w:cs="Arial"/>
                <w:b/>
                <w:i/>
                <w:color w:val="000000" w:themeColor="text1"/>
              </w:rPr>
            </w:pPr>
          </w:p>
          <w:p w14:paraId="03BD561A" w14:textId="510C2B99" w:rsidR="00E2148E" w:rsidRPr="00A87D96" w:rsidRDefault="00E2148E">
            <w:pPr>
              <w:tabs>
                <w:tab w:val="left" w:pos="720"/>
                <w:tab w:val="left" w:pos="9248"/>
              </w:tabs>
              <w:rPr>
                <w:rFonts w:ascii="Arial" w:eastAsia="Calibri" w:hAnsi="Arial" w:cs="Arial"/>
                <w:b/>
                <w:i/>
                <w:color w:val="000000" w:themeColor="text1"/>
              </w:rPr>
            </w:pPr>
            <w:r w:rsidRPr="00A87D96">
              <w:rPr>
                <w:rFonts w:ascii="Arial" w:eastAsia="Calibri" w:hAnsi="Arial" w:cs="Arial"/>
                <w:b/>
                <w:color w:val="000000" w:themeColor="text1"/>
              </w:rPr>
              <w:t>Requirement 16: Providers must demonstrate that assessments are fit for purpose and deliver results which are valid and reliable. The methods of assessment used must be appropriate to the learning outcomes, in line with current and best practice and be routinely monitored, quality assured and developed</w:t>
            </w:r>
            <w:r w:rsidR="0090097A" w:rsidRPr="00A87D96">
              <w:rPr>
                <w:rFonts w:ascii="Arial" w:eastAsia="Calibri" w:hAnsi="Arial" w:cs="Arial"/>
                <w:b/>
                <w:color w:val="000000" w:themeColor="text1"/>
              </w:rPr>
              <w:t>. (</w:t>
            </w:r>
            <w:r w:rsidR="0090097A" w:rsidRPr="00A87D96">
              <w:rPr>
                <w:rFonts w:ascii="Arial" w:eastAsia="Calibri" w:hAnsi="Arial" w:cs="Arial"/>
                <w:b/>
                <w:i/>
                <w:color w:val="000000" w:themeColor="text1"/>
              </w:rPr>
              <w:t>Requirement Met)</w:t>
            </w:r>
          </w:p>
          <w:p w14:paraId="05E15E0C" w14:textId="77777777" w:rsidR="0008193C" w:rsidRPr="00A87D96" w:rsidRDefault="0008193C" w:rsidP="0008193C">
            <w:pPr>
              <w:pStyle w:val="NormalWeb"/>
              <w:contextualSpacing/>
              <w:rPr>
                <w:rFonts w:ascii="Arial" w:hAnsi="Arial" w:cs="Arial"/>
                <w:sz w:val="22"/>
                <w:szCs w:val="22"/>
              </w:rPr>
            </w:pPr>
            <w:r w:rsidRPr="00A87D96">
              <w:rPr>
                <w:rFonts w:ascii="Arial" w:hAnsi="Arial" w:cs="Arial"/>
                <w:sz w:val="22"/>
                <w:szCs w:val="22"/>
              </w:rPr>
              <w:t>During the inspection, examinations were observed to gain a deeper understanding of the process. Pre-examination briefings were conducted, and clear instructions were provided to ensure consistency across all activities.</w:t>
            </w:r>
          </w:p>
          <w:p w14:paraId="31E1A743" w14:textId="77777777" w:rsidR="0008193C" w:rsidRPr="00A87D96" w:rsidRDefault="0008193C" w:rsidP="0008193C">
            <w:pPr>
              <w:pStyle w:val="NormalWeb"/>
              <w:contextualSpacing/>
              <w:rPr>
                <w:rFonts w:ascii="Arial" w:hAnsi="Arial" w:cs="Arial"/>
                <w:sz w:val="22"/>
                <w:szCs w:val="22"/>
              </w:rPr>
            </w:pPr>
          </w:p>
          <w:p w14:paraId="38DA71F5" w14:textId="77777777" w:rsidR="0008193C" w:rsidRPr="00A87D96" w:rsidRDefault="0008193C" w:rsidP="0008193C">
            <w:pPr>
              <w:pStyle w:val="NormalWeb"/>
              <w:contextualSpacing/>
              <w:rPr>
                <w:rFonts w:ascii="Arial" w:hAnsi="Arial" w:cs="Arial"/>
                <w:sz w:val="22"/>
                <w:szCs w:val="22"/>
              </w:rPr>
            </w:pPr>
            <w:r w:rsidRPr="00A87D96">
              <w:rPr>
                <w:rFonts w:ascii="Arial" w:hAnsi="Arial" w:cs="Arial"/>
                <w:sz w:val="22"/>
                <w:szCs w:val="22"/>
              </w:rPr>
              <w:t>In discussions with the EEs, it became evident that feedback had been both provided and acted upon effectively. The EEs expressed their appreciation for the school’s operational standards and responsiveness to feedback, noting that improvements were implemented promptly. They also reported that student feedback was overwhelmingly positive.</w:t>
            </w:r>
          </w:p>
          <w:p w14:paraId="2F529BD2" w14:textId="77777777" w:rsidR="0008193C" w:rsidRPr="00A87D96" w:rsidRDefault="0008193C" w:rsidP="0008193C">
            <w:pPr>
              <w:pStyle w:val="NormalWeb"/>
              <w:contextualSpacing/>
              <w:rPr>
                <w:rFonts w:ascii="Arial" w:hAnsi="Arial" w:cs="Arial"/>
                <w:b/>
                <w:bCs/>
                <w:sz w:val="22"/>
                <w:szCs w:val="22"/>
                <w:u w:val="single"/>
              </w:rPr>
            </w:pPr>
          </w:p>
          <w:p w14:paraId="0F309CA3" w14:textId="77777777" w:rsidR="0008193C" w:rsidRPr="00A87D96" w:rsidRDefault="0008193C" w:rsidP="0008193C">
            <w:pPr>
              <w:pStyle w:val="NormalWeb"/>
              <w:contextualSpacing/>
              <w:rPr>
                <w:rFonts w:ascii="Arial" w:hAnsi="Arial" w:cs="Arial"/>
                <w:sz w:val="22"/>
                <w:szCs w:val="22"/>
              </w:rPr>
            </w:pPr>
            <w:r w:rsidRPr="00A87D96">
              <w:rPr>
                <w:rFonts w:ascii="Arial" w:hAnsi="Arial" w:cs="Arial"/>
                <w:sz w:val="22"/>
                <w:szCs w:val="22"/>
              </w:rPr>
              <w:t>The following University and School policies ensure that assessments are fit for purpose: the University Marking and Moderation Policy, the University Academic Feedback Policy, the University Assessment and Examining Board Regulations, the University Examination and Assessment Policy and Procedure, and the DENTL Assessment Coordinators Handbook.</w:t>
            </w:r>
          </w:p>
          <w:p w14:paraId="56F5C86B" w14:textId="77777777" w:rsidR="0008193C" w:rsidRPr="00A87D96" w:rsidRDefault="0008193C" w:rsidP="0008193C">
            <w:pPr>
              <w:spacing w:line="276" w:lineRule="auto"/>
              <w:rPr>
                <w:rFonts w:ascii="Arial" w:eastAsia="Arial" w:hAnsi="Arial" w:cs="Arial"/>
              </w:rPr>
            </w:pPr>
            <w:r w:rsidRPr="00A87D96">
              <w:rPr>
                <w:rFonts w:ascii="Arial" w:hAnsi="Arial" w:cs="Arial"/>
              </w:rPr>
              <w:t xml:space="preserve">These documents were readily available to the panel members </w:t>
            </w:r>
            <w:r w:rsidRPr="00A87D96">
              <w:rPr>
                <w:rFonts w:ascii="Arial" w:eastAsia="Arial" w:hAnsi="Arial" w:cs="Arial"/>
              </w:rPr>
              <w:t>and after reviewing the evidence, the panel deem this requirement to be met.</w:t>
            </w:r>
          </w:p>
          <w:p w14:paraId="119CE503" w14:textId="77777777" w:rsidR="00E2148E" w:rsidRPr="00A87D96" w:rsidRDefault="00E2148E">
            <w:pPr>
              <w:tabs>
                <w:tab w:val="left" w:pos="720"/>
                <w:tab w:val="left" w:pos="9248"/>
              </w:tabs>
              <w:rPr>
                <w:rFonts w:ascii="Arial" w:eastAsia="Calibri" w:hAnsi="Arial" w:cs="Arial"/>
                <w:b/>
                <w:color w:val="000000" w:themeColor="text1"/>
              </w:rPr>
            </w:pPr>
          </w:p>
          <w:p w14:paraId="666F4B9D" w14:textId="782CE356" w:rsidR="00E2148E" w:rsidRPr="00A87D96" w:rsidRDefault="00E2148E">
            <w:pPr>
              <w:tabs>
                <w:tab w:val="left" w:pos="720"/>
                <w:tab w:val="left" w:pos="9248"/>
              </w:tabs>
              <w:rPr>
                <w:rFonts w:ascii="Arial" w:eastAsia="Calibri" w:hAnsi="Arial" w:cs="Arial"/>
                <w:b/>
                <w:i/>
                <w:color w:val="000000" w:themeColor="text1"/>
              </w:rPr>
            </w:pPr>
            <w:r w:rsidRPr="00A87D96">
              <w:rPr>
                <w:rFonts w:ascii="Arial" w:eastAsia="Calibri" w:hAnsi="Arial" w:cs="Arial"/>
                <w:b/>
                <w:color w:val="000000" w:themeColor="text1"/>
              </w:rPr>
              <w:t>Requirement 17: Assessment must utilise feedback collected from a variety of sources, which should include other members of the dental team, peers, patients and/or customers</w:t>
            </w:r>
            <w:r w:rsidR="0090097A" w:rsidRPr="00A87D96">
              <w:rPr>
                <w:rFonts w:ascii="Arial" w:eastAsia="Calibri" w:hAnsi="Arial" w:cs="Arial"/>
                <w:b/>
                <w:color w:val="000000" w:themeColor="text1"/>
              </w:rPr>
              <w:t>. (</w:t>
            </w:r>
            <w:r w:rsidR="0090097A" w:rsidRPr="00A87D96">
              <w:rPr>
                <w:rFonts w:ascii="Arial" w:eastAsia="Calibri" w:hAnsi="Arial" w:cs="Arial"/>
                <w:b/>
                <w:i/>
                <w:color w:val="000000" w:themeColor="text1"/>
              </w:rPr>
              <w:t>Requirement Met)</w:t>
            </w:r>
          </w:p>
          <w:p w14:paraId="05F93D46" w14:textId="77777777" w:rsidR="001D7207" w:rsidRPr="00A87D96" w:rsidRDefault="001D7207" w:rsidP="001D7207">
            <w:pPr>
              <w:pStyle w:val="NormalWeb"/>
              <w:rPr>
                <w:rFonts w:ascii="Arial" w:hAnsi="Arial" w:cs="Arial"/>
                <w:sz w:val="22"/>
                <w:szCs w:val="22"/>
              </w:rPr>
            </w:pPr>
            <w:r w:rsidRPr="00A87D96">
              <w:rPr>
                <w:rFonts w:ascii="Arial" w:hAnsi="Arial" w:cs="Arial"/>
                <w:sz w:val="22"/>
                <w:szCs w:val="22"/>
              </w:rPr>
              <w:t>CAFS facilitates the collection of longitudinal feedback for students across all clinical encounters and simulation-based teaching sessions. Dentists, therapists, hygienists, and nursing staff are able to provide feedback to students through the platform. Additionally, they can raise concerns regarding a student or submit evidence of exemplary behaviour, which is subsequently reviewed through the APP process.</w:t>
            </w:r>
          </w:p>
          <w:p w14:paraId="45B05855" w14:textId="77777777" w:rsidR="001D7207" w:rsidRPr="00A87D96" w:rsidRDefault="001D7207" w:rsidP="001D7207">
            <w:pPr>
              <w:pStyle w:val="NormalWeb"/>
              <w:rPr>
                <w:rFonts w:ascii="Arial" w:hAnsi="Arial" w:cs="Arial"/>
                <w:sz w:val="22"/>
                <w:szCs w:val="22"/>
              </w:rPr>
            </w:pPr>
            <w:r w:rsidRPr="00A87D96">
              <w:rPr>
                <w:rFonts w:ascii="Arial" w:hAnsi="Arial" w:cs="Arial"/>
                <w:sz w:val="22"/>
                <w:szCs w:val="22"/>
              </w:rPr>
              <w:t xml:space="preserve">Dental nurses participating in undergraduate clinics access CAFS via a generic nurse login and typically provide feedback through the 'significant event' system, highlighting particularly positive or negative occurrences. This feedback is integrated into the APP process. For routine </w:t>
            </w:r>
            <w:r w:rsidRPr="00A87D96">
              <w:rPr>
                <w:rFonts w:ascii="Arial" w:hAnsi="Arial" w:cs="Arial"/>
                <w:sz w:val="22"/>
                <w:szCs w:val="22"/>
              </w:rPr>
              <w:lastRenderedPageBreak/>
              <w:t>feedback, all nurses are encouraged to communicate directly with clinical supervisors, who then document it on CAFS as part of the student’s clinical feedback and reflective practice.</w:t>
            </w:r>
          </w:p>
          <w:p w14:paraId="4CDA0C35" w14:textId="222ACF7C" w:rsidR="007757DE" w:rsidRPr="00A87D96" w:rsidRDefault="007757DE" w:rsidP="001D7207">
            <w:pPr>
              <w:pStyle w:val="NormalWeb"/>
              <w:rPr>
                <w:rFonts w:ascii="Arial" w:hAnsi="Arial" w:cs="Arial"/>
                <w:sz w:val="22"/>
                <w:szCs w:val="22"/>
              </w:rPr>
            </w:pPr>
            <w:r w:rsidRPr="00A87D96">
              <w:rPr>
                <w:rFonts w:ascii="Arial" w:hAnsi="Arial" w:cs="Arial"/>
                <w:sz w:val="22"/>
                <w:szCs w:val="22"/>
              </w:rPr>
              <w:t>A similar process is available in the Outreach sites, where the students are working with experienced support staff who are encouraged to provide feedback on the students.  The Panel were able to talk to this cohesive, professional team during their visits to the Outreach providers during the inspection.</w:t>
            </w:r>
          </w:p>
          <w:p w14:paraId="19398DAC" w14:textId="77777777" w:rsidR="001D7207" w:rsidRPr="00A87D96" w:rsidRDefault="001D7207" w:rsidP="001D7207">
            <w:pPr>
              <w:pStyle w:val="NormalWeb"/>
              <w:rPr>
                <w:rFonts w:ascii="Arial" w:hAnsi="Arial" w:cs="Arial"/>
                <w:sz w:val="22"/>
                <w:szCs w:val="22"/>
              </w:rPr>
            </w:pPr>
            <w:r w:rsidRPr="00A87D96">
              <w:rPr>
                <w:rFonts w:ascii="Arial" w:hAnsi="Arial" w:cs="Arial"/>
                <w:sz w:val="22"/>
                <w:szCs w:val="22"/>
              </w:rPr>
              <w:t>Patient feedback is also collected through CAFS. Each clinical encounter generates a unique patient feedback code, enabling patients to provide anonymous feedback via designated tablets or desktop computers within the clinic.</w:t>
            </w:r>
          </w:p>
          <w:p w14:paraId="4FFCBC53" w14:textId="77777777" w:rsidR="001D7207" w:rsidRPr="00A87D96" w:rsidRDefault="001D7207" w:rsidP="001D7207">
            <w:pPr>
              <w:pStyle w:val="NormalWeb"/>
              <w:contextualSpacing/>
              <w:rPr>
                <w:rFonts w:ascii="Arial" w:hAnsi="Arial" w:cs="Arial"/>
                <w:sz w:val="22"/>
                <w:szCs w:val="22"/>
              </w:rPr>
            </w:pPr>
            <w:r w:rsidRPr="00A87D96">
              <w:rPr>
                <w:rFonts w:ascii="Arial" w:hAnsi="Arial" w:cs="Arial"/>
                <w:sz w:val="22"/>
                <w:szCs w:val="22"/>
              </w:rPr>
              <w:t>Students also participate in peer-to-peer feedback throughout the programme, tailored to the specific topic, module, or placement. This feedback can be delivered in various formats, including face-to-face interactions, group settings, or through the CAFS system.</w:t>
            </w:r>
          </w:p>
          <w:p w14:paraId="2DD1A8E0" w14:textId="77777777" w:rsidR="001D7207" w:rsidRPr="00A87D96" w:rsidRDefault="001D7207" w:rsidP="001D7207">
            <w:pPr>
              <w:tabs>
                <w:tab w:val="left" w:pos="720"/>
              </w:tabs>
              <w:ind w:right="5"/>
              <w:contextualSpacing/>
            </w:pPr>
            <w:r w:rsidRPr="00A87D96">
              <w:rPr>
                <w:rFonts w:ascii="Arial" w:eastAsia="Calibri" w:hAnsi="Arial" w:cs="Arial"/>
                <w:color w:val="000000" w:themeColor="text1"/>
              </w:rPr>
              <w:t>The panel found the Requirement to be met.</w:t>
            </w:r>
          </w:p>
          <w:p w14:paraId="56B4B454" w14:textId="58FF9CFC" w:rsidR="00E2148E" w:rsidRPr="00A87D96" w:rsidRDefault="00E2148E">
            <w:pPr>
              <w:rPr>
                <w:rFonts w:ascii="Helvetica" w:hAnsi="Helvetica" w:cs="Helvetica"/>
                <w:color w:val="000000" w:themeColor="text1"/>
              </w:rPr>
            </w:pPr>
          </w:p>
          <w:p w14:paraId="04E55FE7" w14:textId="26D31BC0" w:rsidR="00E2148E" w:rsidRPr="00A87D96" w:rsidRDefault="00E2148E">
            <w:pPr>
              <w:tabs>
                <w:tab w:val="left" w:pos="720"/>
                <w:tab w:val="left" w:pos="9248"/>
              </w:tabs>
              <w:rPr>
                <w:rFonts w:ascii="Arial" w:eastAsia="Calibri" w:hAnsi="Arial" w:cs="Arial"/>
                <w:b/>
                <w:i/>
                <w:color w:val="000000" w:themeColor="text1"/>
              </w:rPr>
            </w:pPr>
            <w:r w:rsidRPr="00A87D96">
              <w:rPr>
                <w:rFonts w:ascii="Arial" w:eastAsia="Calibri" w:hAnsi="Arial" w:cs="Arial"/>
                <w:b/>
                <w:color w:val="000000" w:themeColor="text1"/>
              </w:rPr>
              <w:t>Requirement 18: The provider must support students to improve their performance by providing regular feedback and by encouraging students to reflect on their practice</w:t>
            </w:r>
            <w:r w:rsidR="0090097A" w:rsidRPr="00A87D96">
              <w:rPr>
                <w:rFonts w:ascii="Arial" w:eastAsia="Calibri" w:hAnsi="Arial" w:cs="Arial"/>
                <w:b/>
                <w:color w:val="000000" w:themeColor="text1"/>
              </w:rPr>
              <w:t>. (</w:t>
            </w:r>
            <w:r w:rsidR="0090097A" w:rsidRPr="00A87D96">
              <w:rPr>
                <w:rFonts w:ascii="Arial" w:eastAsia="Calibri" w:hAnsi="Arial" w:cs="Arial"/>
                <w:b/>
                <w:i/>
                <w:color w:val="000000" w:themeColor="text1"/>
              </w:rPr>
              <w:t>Requirement Met)</w:t>
            </w:r>
          </w:p>
          <w:p w14:paraId="42230E7B" w14:textId="77777777" w:rsidR="0090216C" w:rsidRPr="00A87D96" w:rsidRDefault="0090216C" w:rsidP="0090216C">
            <w:pPr>
              <w:pStyle w:val="NormalWeb"/>
              <w:contextualSpacing/>
              <w:rPr>
                <w:rFonts w:ascii="Arial" w:hAnsi="Arial" w:cs="Arial"/>
                <w:sz w:val="22"/>
                <w:szCs w:val="22"/>
              </w:rPr>
            </w:pPr>
            <w:r w:rsidRPr="00A87D96">
              <w:rPr>
                <w:rFonts w:ascii="Arial" w:hAnsi="Arial" w:cs="Arial"/>
                <w:sz w:val="22"/>
                <w:szCs w:val="22"/>
              </w:rPr>
              <w:t>Ongoing feedback and reflective practice are integral to the Programme. Students receive frequent feedback across assessments and clinical/pre-clinical activities, with regular reflection expected throughout.</w:t>
            </w:r>
          </w:p>
          <w:p w14:paraId="55EF50CF" w14:textId="77777777" w:rsidR="0090216C" w:rsidRPr="00A87D96" w:rsidRDefault="0090216C" w:rsidP="0090216C">
            <w:pPr>
              <w:pStyle w:val="NormalWeb"/>
              <w:contextualSpacing/>
              <w:rPr>
                <w:rFonts w:ascii="Arial" w:hAnsi="Arial" w:cs="Arial"/>
                <w:sz w:val="22"/>
                <w:szCs w:val="22"/>
              </w:rPr>
            </w:pPr>
          </w:p>
          <w:p w14:paraId="58FC0404" w14:textId="77777777" w:rsidR="0090216C" w:rsidRPr="00A87D96" w:rsidRDefault="0090216C" w:rsidP="0090216C">
            <w:pPr>
              <w:pStyle w:val="NormalWeb"/>
              <w:contextualSpacing/>
              <w:rPr>
                <w:rFonts w:ascii="Arial" w:hAnsi="Arial" w:cs="Arial"/>
                <w:sz w:val="22"/>
                <w:szCs w:val="22"/>
              </w:rPr>
            </w:pPr>
            <w:r w:rsidRPr="00A87D96">
              <w:rPr>
                <w:rFonts w:ascii="Arial" w:hAnsi="Arial" w:cs="Arial"/>
                <w:sz w:val="22"/>
                <w:szCs w:val="22"/>
              </w:rPr>
              <w:t>All assessments include feedback. Students who fail are offered additional guidance and remediation by the relevant lead before resitting the assessment and are encouraged to consult their Personal Tutors. Those repeating a year or withdrawing are provided with comprehensive information on University support services.</w:t>
            </w:r>
          </w:p>
          <w:p w14:paraId="57330018" w14:textId="77777777" w:rsidR="0090216C" w:rsidRPr="00A87D96" w:rsidRDefault="0090216C" w:rsidP="0090216C">
            <w:pPr>
              <w:pStyle w:val="NormalWeb"/>
              <w:contextualSpacing/>
              <w:rPr>
                <w:rFonts w:ascii="Arial" w:hAnsi="Arial" w:cs="Arial"/>
                <w:sz w:val="22"/>
                <w:szCs w:val="22"/>
              </w:rPr>
            </w:pPr>
          </w:p>
          <w:p w14:paraId="5A976F1C" w14:textId="77777777" w:rsidR="0090216C" w:rsidRPr="00A87D96" w:rsidRDefault="0090216C" w:rsidP="0090216C">
            <w:pPr>
              <w:pStyle w:val="NormalWeb"/>
              <w:contextualSpacing/>
              <w:rPr>
                <w:rFonts w:ascii="Arial" w:hAnsi="Arial" w:cs="Arial"/>
                <w:sz w:val="22"/>
                <w:szCs w:val="22"/>
              </w:rPr>
            </w:pPr>
            <w:r w:rsidRPr="00A87D96">
              <w:rPr>
                <w:rFonts w:ascii="Arial" w:hAnsi="Arial" w:cs="Arial"/>
                <w:sz w:val="22"/>
                <w:szCs w:val="22"/>
              </w:rPr>
              <w:t>The School also offers ‘</w:t>
            </w:r>
            <w:proofErr w:type="spellStart"/>
            <w:r w:rsidRPr="00A87D96">
              <w:rPr>
                <w:rFonts w:ascii="Arial" w:hAnsi="Arial" w:cs="Arial"/>
                <w:sz w:val="22"/>
                <w:szCs w:val="22"/>
              </w:rPr>
              <w:t>Edubites</w:t>
            </w:r>
            <w:proofErr w:type="spellEnd"/>
            <w:r w:rsidRPr="00A87D96">
              <w:rPr>
                <w:rFonts w:ascii="Arial" w:hAnsi="Arial" w:cs="Arial"/>
                <w:sz w:val="22"/>
                <w:szCs w:val="22"/>
              </w:rPr>
              <w:t>’, these are monthly CPD events for teaching and scholarship staff, occasionally featuring student-led sessions.</w:t>
            </w:r>
          </w:p>
          <w:p w14:paraId="7E8E6F91" w14:textId="77777777" w:rsidR="0090216C" w:rsidRPr="00A87D96" w:rsidRDefault="0090216C" w:rsidP="0090216C">
            <w:pPr>
              <w:pStyle w:val="NormalWeb"/>
              <w:contextualSpacing/>
              <w:rPr>
                <w:rFonts w:ascii="Arial" w:hAnsi="Arial" w:cs="Arial"/>
                <w:sz w:val="22"/>
                <w:szCs w:val="22"/>
              </w:rPr>
            </w:pPr>
          </w:p>
          <w:p w14:paraId="395B0B2E" w14:textId="693BA9A2" w:rsidR="0090216C" w:rsidRPr="00A87D96" w:rsidRDefault="0090216C" w:rsidP="0090216C">
            <w:pPr>
              <w:pStyle w:val="NormalWeb"/>
              <w:contextualSpacing/>
              <w:rPr>
                <w:rFonts w:ascii="Arial" w:hAnsi="Arial" w:cs="Arial"/>
                <w:sz w:val="22"/>
                <w:szCs w:val="22"/>
              </w:rPr>
            </w:pPr>
            <w:r w:rsidRPr="00A87D96">
              <w:rPr>
                <w:rFonts w:ascii="Arial" w:hAnsi="Arial" w:cs="Arial"/>
                <w:sz w:val="22"/>
                <w:szCs w:val="22"/>
              </w:rPr>
              <w:t xml:space="preserve">Feedback and reflection are systematically integrated into CAFS and are consistently </w:t>
            </w:r>
            <w:r w:rsidR="00C60B47" w:rsidRPr="00A87D96">
              <w:rPr>
                <w:rFonts w:ascii="Arial" w:hAnsi="Arial" w:cs="Arial"/>
                <w:sz w:val="22"/>
                <w:szCs w:val="22"/>
              </w:rPr>
              <w:t xml:space="preserve">practised </w:t>
            </w:r>
            <w:r w:rsidRPr="00A87D96">
              <w:rPr>
                <w:rFonts w:ascii="Arial" w:hAnsi="Arial" w:cs="Arial"/>
                <w:sz w:val="22"/>
                <w:szCs w:val="22"/>
              </w:rPr>
              <w:t>during all clinical and the majority of pre-clinical sessions. Students are reminded that while the CAFS platform provides detailed feedback, the primary mode of clinical feedback is verbal, delivered during and after sessions. Written feedback and grades within CAFS are intended to supplement this verbal feedback.</w:t>
            </w:r>
          </w:p>
          <w:p w14:paraId="74C8C723" w14:textId="77777777" w:rsidR="0090216C" w:rsidRPr="00A87D96" w:rsidRDefault="0090216C" w:rsidP="0090216C">
            <w:pPr>
              <w:tabs>
                <w:tab w:val="left" w:pos="720"/>
              </w:tabs>
              <w:ind w:right="5"/>
              <w:contextualSpacing/>
            </w:pPr>
            <w:r w:rsidRPr="00A87D96">
              <w:rPr>
                <w:rFonts w:ascii="Arial" w:eastAsia="Calibri" w:hAnsi="Arial" w:cs="Arial"/>
                <w:color w:val="000000" w:themeColor="text1"/>
              </w:rPr>
              <w:t>The panel found the Requirement to be met.</w:t>
            </w:r>
          </w:p>
          <w:p w14:paraId="6E9CE27A" w14:textId="77777777" w:rsidR="00E2148E" w:rsidRPr="00A87D96" w:rsidRDefault="00E2148E">
            <w:pPr>
              <w:tabs>
                <w:tab w:val="left" w:pos="720"/>
                <w:tab w:val="left" w:pos="9248"/>
              </w:tabs>
              <w:rPr>
                <w:rFonts w:ascii="Arial" w:eastAsia="Calibri" w:hAnsi="Arial" w:cs="Arial"/>
                <w:color w:val="000000" w:themeColor="text1"/>
              </w:rPr>
            </w:pPr>
          </w:p>
          <w:p w14:paraId="63D6A4C4" w14:textId="1EA31589" w:rsidR="00E2148E" w:rsidRPr="00A87D96" w:rsidRDefault="00E2148E">
            <w:pPr>
              <w:tabs>
                <w:tab w:val="left" w:pos="720"/>
                <w:tab w:val="left" w:pos="9248"/>
              </w:tabs>
              <w:rPr>
                <w:rFonts w:ascii="Arial" w:eastAsia="Calibri" w:hAnsi="Arial" w:cs="Arial"/>
                <w:b/>
                <w:i/>
                <w:color w:val="000000" w:themeColor="text1"/>
              </w:rPr>
            </w:pPr>
            <w:r w:rsidRPr="00A87D96">
              <w:rPr>
                <w:rFonts w:ascii="Arial" w:eastAsia="Calibri" w:hAnsi="Arial" w:cs="Arial"/>
                <w:b/>
                <w:color w:val="000000" w:themeColor="text1"/>
              </w:rPr>
              <w:t>Requirement 19: Examiners/assessors must have appropriate skills, experience and training to undertake the task of assessment, including appropriate general or specialist registration with a UK regulatory body. Examiners/ assessors should have received training in equality and diversity relevant for their role</w:t>
            </w:r>
            <w:r w:rsidR="0090097A" w:rsidRPr="00A87D96">
              <w:rPr>
                <w:rFonts w:ascii="Arial" w:eastAsia="Calibri" w:hAnsi="Arial" w:cs="Arial"/>
                <w:b/>
                <w:color w:val="000000" w:themeColor="text1"/>
              </w:rPr>
              <w:t>. (</w:t>
            </w:r>
            <w:r w:rsidR="0090097A" w:rsidRPr="00A87D96">
              <w:rPr>
                <w:rFonts w:ascii="Arial" w:eastAsia="Calibri" w:hAnsi="Arial" w:cs="Arial"/>
                <w:b/>
                <w:i/>
                <w:color w:val="000000" w:themeColor="text1"/>
              </w:rPr>
              <w:t>Requirement Met)</w:t>
            </w:r>
          </w:p>
          <w:p w14:paraId="22B29A54" w14:textId="36693CC6" w:rsidR="002D6AF3" w:rsidRPr="00A87D96" w:rsidRDefault="002D6AF3" w:rsidP="002D6AF3">
            <w:pPr>
              <w:pStyle w:val="NormalWeb"/>
              <w:contextualSpacing/>
              <w:rPr>
                <w:rFonts w:ascii="Arial" w:hAnsi="Arial" w:cs="Arial"/>
                <w:sz w:val="22"/>
                <w:szCs w:val="22"/>
              </w:rPr>
            </w:pPr>
            <w:r w:rsidRPr="00A87D96">
              <w:rPr>
                <w:rFonts w:ascii="Arial" w:hAnsi="Arial" w:cs="Arial"/>
                <w:sz w:val="22"/>
                <w:szCs w:val="22"/>
              </w:rPr>
              <w:t xml:space="preserve">All </w:t>
            </w:r>
            <w:r w:rsidR="00166D6B" w:rsidRPr="00A87D96">
              <w:rPr>
                <w:rFonts w:ascii="Arial" w:hAnsi="Arial" w:cs="Arial"/>
                <w:sz w:val="22"/>
                <w:szCs w:val="22"/>
              </w:rPr>
              <w:t xml:space="preserve">examiners/assessors </w:t>
            </w:r>
            <w:r w:rsidRPr="00A87D96">
              <w:rPr>
                <w:rFonts w:ascii="Arial" w:hAnsi="Arial" w:cs="Arial"/>
                <w:sz w:val="22"/>
                <w:szCs w:val="22"/>
              </w:rPr>
              <w:t xml:space="preserve">possess appropriate qualifications relevant to the assessments they oversee and hold either an Honorary title or a formal contract with Cardiff University. As part of their role, all </w:t>
            </w:r>
            <w:r w:rsidR="00166D6B" w:rsidRPr="00A87D96">
              <w:rPr>
                <w:rFonts w:ascii="Arial" w:hAnsi="Arial" w:cs="Arial"/>
                <w:sz w:val="22"/>
                <w:szCs w:val="22"/>
              </w:rPr>
              <w:t>examiners/assessors</w:t>
            </w:r>
            <w:r w:rsidRPr="00A87D96">
              <w:rPr>
                <w:rFonts w:ascii="Arial" w:hAnsi="Arial" w:cs="Arial"/>
                <w:sz w:val="22"/>
                <w:szCs w:val="22"/>
              </w:rPr>
              <w:t xml:space="preserve"> are required to complete Equality, Diversity, and Inclusion (EDI) training. This training is included in the mandatory induction package for both Cardiff University and NHS staff.</w:t>
            </w:r>
          </w:p>
          <w:p w14:paraId="38D75E16" w14:textId="77777777" w:rsidR="002D6AF3" w:rsidRPr="00A87D96" w:rsidRDefault="002D6AF3" w:rsidP="002D6AF3">
            <w:pPr>
              <w:rPr>
                <w:rFonts w:ascii="Arial" w:hAnsi="Arial" w:cs="Arial"/>
              </w:rPr>
            </w:pPr>
            <w:r w:rsidRPr="00A87D96">
              <w:rPr>
                <w:rFonts w:ascii="Arial" w:hAnsi="Arial" w:cs="Arial"/>
              </w:rPr>
              <w:lastRenderedPageBreak/>
              <w:t>Placement staff are invited to participate in all staff development days, including a dedicated outreach placement study day. This outreach-specific event provides an opportunity for calibration and training on the longitudinal monitoring system (CAFS), as well as discussion of student feedback and other topics of interest or relevance to placement providers.</w:t>
            </w:r>
          </w:p>
          <w:p w14:paraId="7DFC6D66" w14:textId="77777777" w:rsidR="002D6AF3" w:rsidRPr="00A87D96" w:rsidRDefault="002D6AF3" w:rsidP="002D6AF3">
            <w:pPr>
              <w:rPr>
                <w:rFonts w:ascii="Arial" w:hAnsi="Arial" w:cs="Arial"/>
              </w:rPr>
            </w:pPr>
          </w:p>
          <w:p w14:paraId="3941361A" w14:textId="77777777" w:rsidR="002D6AF3" w:rsidRPr="00A87D96" w:rsidRDefault="002D6AF3" w:rsidP="002D6AF3">
            <w:pPr>
              <w:tabs>
                <w:tab w:val="left" w:pos="720"/>
              </w:tabs>
              <w:ind w:right="5"/>
              <w:contextualSpacing/>
            </w:pPr>
            <w:r w:rsidRPr="00A87D96">
              <w:rPr>
                <w:rFonts w:ascii="Arial" w:eastAsia="Calibri" w:hAnsi="Arial" w:cs="Arial"/>
                <w:color w:val="000000" w:themeColor="text1"/>
              </w:rPr>
              <w:t>The panel found the Requirement to be met.</w:t>
            </w:r>
          </w:p>
          <w:p w14:paraId="3C7BEF6F" w14:textId="77777777" w:rsidR="00E2148E" w:rsidRPr="00A87D96" w:rsidRDefault="00E2148E">
            <w:pPr>
              <w:tabs>
                <w:tab w:val="left" w:pos="720"/>
                <w:tab w:val="left" w:pos="9248"/>
              </w:tabs>
              <w:rPr>
                <w:rFonts w:ascii="Arial" w:eastAsia="Calibri" w:hAnsi="Arial" w:cs="Arial"/>
                <w:b/>
                <w:i/>
                <w:color w:val="000000" w:themeColor="text1"/>
              </w:rPr>
            </w:pPr>
          </w:p>
          <w:p w14:paraId="799D554E" w14:textId="069955FE" w:rsidR="00E2148E" w:rsidRPr="00A87D96" w:rsidRDefault="00E2148E">
            <w:pPr>
              <w:tabs>
                <w:tab w:val="left" w:pos="720"/>
                <w:tab w:val="left" w:pos="9248"/>
              </w:tabs>
              <w:rPr>
                <w:rFonts w:ascii="Arial" w:eastAsia="Calibri" w:hAnsi="Arial" w:cs="Arial"/>
                <w:b/>
                <w:i/>
                <w:color w:val="000000" w:themeColor="text1"/>
              </w:rPr>
            </w:pPr>
            <w:r w:rsidRPr="00A87D96">
              <w:rPr>
                <w:rFonts w:ascii="Arial" w:eastAsia="Calibri" w:hAnsi="Arial" w:cs="Arial"/>
                <w:b/>
                <w:color w:val="000000" w:themeColor="text1"/>
              </w:rPr>
              <w:t>Requirement 20: Providers must ask external examiners to report on the extent to which assessment processes are rigorous, set at the correct standard, ensure equity of treatment for students and have been fairly conducted. The responsibilities of the external examiners must be clearly documented</w:t>
            </w:r>
            <w:r w:rsidR="0090097A" w:rsidRPr="00A87D96">
              <w:rPr>
                <w:rFonts w:ascii="Arial" w:eastAsia="Calibri" w:hAnsi="Arial" w:cs="Arial"/>
                <w:b/>
                <w:color w:val="000000" w:themeColor="text1"/>
              </w:rPr>
              <w:t>. (</w:t>
            </w:r>
            <w:r w:rsidR="0090097A" w:rsidRPr="00A87D96">
              <w:rPr>
                <w:rFonts w:ascii="Arial" w:eastAsia="Calibri" w:hAnsi="Arial" w:cs="Arial"/>
                <w:b/>
                <w:i/>
                <w:color w:val="000000" w:themeColor="text1"/>
              </w:rPr>
              <w:t>Requirement Met)</w:t>
            </w:r>
          </w:p>
          <w:p w14:paraId="2CCF82EF" w14:textId="77777777" w:rsidR="002D4638" w:rsidRPr="00A87D96" w:rsidRDefault="002D4638" w:rsidP="002D4638">
            <w:pPr>
              <w:pStyle w:val="NormalWeb"/>
              <w:contextualSpacing/>
              <w:rPr>
                <w:rFonts w:ascii="Arial" w:hAnsi="Arial" w:cs="Arial"/>
                <w:sz w:val="22"/>
                <w:szCs w:val="22"/>
              </w:rPr>
            </w:pPr>
            <w:r w:rsidRPr="00A87D96">
              <w:rPr>
                <w:rFonts w:ascii="Arial" w:hAnsi="Arial" w:cs="Arial"/>
                <w:sz w:val="22"/>
                <w:szCs w:val="22"/>
              </w:rPr>
              <w:t>The roles, duties, and responsibilities of External Examiners (EEs) are clearly outlined in the External Examiner Policy, Procedure, and Handbook. EEs are also given the opportunity to engage directly with students to discuss the programme and its assessment. These interactions can help identify potential areas for enhancement and offer EEs a comprehensive understanding of the quality and standards of the student experience, thereby strengthening their contribution to Examining Board deliberations.</w:t>
            </w:r>
          </w:p>
          <w:p w14:paraId="2FDEC3C5" w14:textId="77777777" w:rsidR="002D4638" w:rsidRPr="00A87D96" w:rsidRDefault="002D4638" w:rsidP="002D4638">
            <w:pPr>
              <w:pStyle w:val="NormalWeb"/>
              <w:contextualSpacing/>
              <w:rPr>
                <w:rFonts w:ascii="Arial" w:hAnsi="Arial" w:cs="Arial"/>
                <w:sz w:val="22"/>
                <w:szCs w:val="22"/>
              </w:rPr>
            </w:pPr>
          </w:p>
          <w:p w14:paraId="10093835" w14:textId="77777777" w:rsidR="002D4638" w:rsidRPr="00A87D96" w:rsidRDefault="002D4638" w:rsidP="002D4638">
            <w:pPr>
              <w:pStyle w:val="NormalWeb"/>
              <w:contextualSpacing/>
              <w:rPr>
                <w:rFonts w:ascii="Arial" w:hAnsi="Arial" w:cs="Arial"/>
                <w:sz w:val="22"/>
                <w:szCs w:val="22"/>
              </w:rPr>
            </w:pPr>
            <w:r w:rsidRPr="00A87D96">
              <w:rPr>
                <w:rFonts w:ascii="Arial" w:hAnsi="Arial" w:cs="Arial"/>
                <w:sz w:val="22"/>
                <w:szCs w:val="22"/>
              </w:rPr>
              <w:t>Each EE submits an Annual Report using templates provided by Cardiff University. These reports require EEs to evaluate whether the academic standards set for the awards are appropriate, whether student performance is comparable with similar programmes, and whether assessment, examination, and award processes are rigorous and conducted equitably.</w:t>
            </w:r>
          </w:p>
          <w:p w14:paraId="4CBE0259" w14:textId="77777777" w:rsidR="002D4638" w:rsidRPr="00A87D96" w:rsidRDefault="002D4638" w:rsidP="002D4638">
            <w:pPr>
              <w:tabs>
                <w:tab w:val="left" w:pos="720"/>
              </w:tabs>
              <w:ind w:right="5"/>
              <w:contextualSpacing/>
            </w:pPr>
            <w:r w:rsidRPr="00A87D96">
              <w:rPr>
                <w:rFonts w:ascii="Arial" w:eastAsia="Calibri" w:hAnsi="Arial" w:cs="Arial"/>
                <w:color w:val="000000" w:themeColor="text1"/>
              </w:rPr>
              <w:t>The panel found the Requirement to be met.</w:t>
            </w:r>
          </w:p>
          <w:p w14:paraId="23DE8554" w14:textId="77777777" w:rsidR="00E2148E" w:rsidRPr="00A87D96" w:rsidRDefault="00E2148E">
            <w:pPr>
              <w:tabs>
                <w:tab w:val="left" w:pos="720"/>
                <w:tab w:val="left" w:pos="9248"/>
              </w:tabs>
              <w:rPr>
                <w:rFonts w:ascii="Arial" w:eastAsia="Calibri" w:hAnsi="Arial" w:cs="Arial"/>
                <w:b/>
                <w:i/>
                <w:color w:val="000000" w:themeColor="text1"/>
              </w:rPr>
            </w:pPr>
          </w:p>
          <w:p w14:paraId="2AADA1E3" w14:textId="5044475B" w:rsidR="00E2148E" w:rsidRPr="00A87D96" w:rsidRDefault="00E2148E">
            <w:pPr>
              <w:tabs>
                <w:tab w:val="left" w:pos="720"/>
                <w:tab w:val="left" w:pos="9248"/>
              </w:tabs>
              <w:rPr>
                <w:rFonts w:ascii="Arial" w:eastAsia="Calibri" w:hAnsi="Arial" w:cs="Arial"/>
                <w:b/>
                <w:i/>
                <w:color w:val="000000" w:themeColor="text1"/>
              </w:rPr>
            </w:pPr>
            <w:r w:rsidRPr="00A87D96">
              <w:rPr>
                <w:rFonts w:ascii="Arial" w:eastAsia="Calibri" w:hAnsi="Arial" w:cs="Arial"/>
                <w:b/>
                <w:color w:val="000000" w:themeColor="text1"/>
              </w:rPr>
              <w:t>Requirement 21: Assessment must be fair and undertaken against clear criteria. The standard expected of students in each area to be assessed must be clear and students and staff involved in assessment must be aware of this standard. An appropriate standard setting process must be employed for summative assessments</w:t>
            </w:r>
            <w:r w:rsidR="0090097A" w:rsidRPr="00A87D96">
              <w:rPr>
                <w:rFonts w:ascii="Arial" w:eastAsia="Calibri" w:hAnsi="Arial" w:cs="Arial"/>
                <w:b/>
                <w:color w:val="000000" w:themeColor="text1"/>
              </w:rPr>
              <w:t>. (</w:t>
            </w:r>
            <w:r w:rsidR="0090097A" w:rsidRPr="00A87D96">
              <w:rPr>
                <w:rFonts w:ascii="Arial" w:eastAsia="Calibri" w:hAnsi="Arial" w:cs="Arial"/>
                <w:b/>
                <w:i/>
                <w:color w:val="000000" w:themeColor="text1"/>
              </w:rPr>
              <w:t>Requirement Met)</w:t>
            </w:r>
          </w:p>
          <w:p w14:paraId="4D2B5AB5" w14:textId="77777777" w:rsidR="00620E5F" w:rsidRPr="00A87D96" w:rsidRDefault="00B16CAC" w:rsidP="00B16CAC">
            <w:pPr>
              <w:pStyle w:val="NormalWeb"/>
              <w:contextualSpacing/>
              <w:rPr>
                <w:rFonts w:ascii="Arial" w:hAnsi="Arial" w:cs="Arial"/>
                <w:sz w:val="22"/>
                <w:szCs w:val="22"/>
              </w:rPr>
            </w:pPr>
            <w:r w:rsidRPr="00A87D96">
              <w:rPr>
                <w:rFonts w:ascii="Arial" w:hAnsi="Arial" w:cs="Arial"/>
                <w:sz w:val="22"/>
                <w:szCs w:val="22"/>
              </w:rPr>
              <w:t xml:space="preserve">All assessments are marked and moderated in accordance with the University’s Marking and Moderation Policy, which ensures transparency, consistency, and fairness throughout the assessment process. Students are made aware of the marking and moderation procedures during their assessment induction briefings. </w:t>
            </w:r>
          </w:p>
          <w:p w14:paraId="26657488" w14:textId="77777777" w:rsidR="00620E5F" w:rsidRPr="00A87D96" w:rsidRDefault="00620E5F" w:rsidP="00B16CAC">
            <w:pPr>
              <w:pStyle w:val="NormalWeb"/>
              <w:contextualSpacing/>
              <w:rPr>
                <w:rFonts w:ascii="Arial" w:hAnsi="Arial" w:cs="Arial"/>
                <w:sz w:val="22"/>
                <w:szCs w:val="22"/>
              </w:rPr>
            </w:pPr>
          </w:p>
          <w:p w14:paraId="0BE65156" w14:textId="1343AD8B" w:rsidR="00E2148E" w:rsidRPr="00A87D96" w:rsidRDefault="00B16CAC" w:rsidP="00B16CAC">
            <w:pPr>
              <w:pStyle w:val="NormalWeb"/>
              <w:contextualSpacing/>
              <w:rPr>
                <w:rFonts w:ascii="Arial" w:hAnsi="Arial" w:cs="Arial"/>
                <w:sz w:val="22"/>
                <w:szCs w:val="22"/>
              </w:rPr>
            </w:pPr>
            <w:r w:rsidRPr="00A87D96">
              <w:rPr>
                <w:rFonts w:ascii="Arial" w:hAnsi="Arial" w:cs="Arial"/>
                <w:sz w:val="22"/>
                <w:szCs w:val="22"/>
              </w:rPr>
              <w:t>The panel reviewed substantial evidence demonstrating Cardiff University's compliance with this requirement and, accordingly, concluded that the requirement is met.</w:t>
            </w:r>
          </w:p>
          <w:p w14:paraId="236E8538" w14:textId="51551ACE" w:rsidR="00B16CAC" w:rsidRPr="00A87D96" w:rsidRDefault="00B16CAC" w:rsidP="00B16CAC">
            <w:pPr>
              <w:pStyle w:val="NormalWeb"/>
              <w:contextualSpacing/>
              <w:rPr>
                <w:rFonts w:ascii="Arial" w:hAnsi="Arial" w:cs="Arial"/>
                <w:sz w:val="22"/>
                <w:szCs w:val="22"/>
              </w:rPr>
            </w:pPr>
          </w:p>
        </w:tc>
      </w:tr>
    </w:tbl>
    <w:p w14:paraId="51A7B01E" w14:textId="6B1CC1A7" w:rsidR="00CB6EEE" w:rsidRPr="00165533" w:rsidRDefault="00CB6EEE" w:rsidP="004213EA">
      <w:pPr>
        <w:rPr>
          <w:rFonts w:ascii="Arial" w:hAnsi="Arial" w:cs="Arial"/>
          <w:b/>
          <w:color w:val="1F3864" w:themeColor="accent1" w:themeShade="80"/>
          <w:sz w:val="28"/>
        </w:rPr>
        <w:sectPr w:rsidR="00CB6EEE" w:rsidRPr="00165533" w:rsidSect="000D5F33">
          <w:footerReference w:type="default" r:id="rId12"/>
          <w:pgSz w:w="11906" w:h="16838"/>
          <w:pgMar w:top="1440" w:right="1440" w:bottom="1440" w:left="1440" w:header="709" w:footer="709" w:gutter="0"/>
          <w:cols w:space="708"/>
          <w:docGrid w:linePitch="360"/>
        </w:sectPr>
      </w:pPr>
      <w:r w:rsidRPr="00165533">
        <w:rPr>
          <w:rFonts w:ascii="Arial" w:hAnsi="Arial" w:cs="Arial"/>
          <w:b/>
          <w:color w:val="1F3864" w:themeColor="accent1" w:themeShade="80"/>
          <w:sz w:val="28"/>
        </w:rPr>
        <w:lastRenderedPageBreak/>
        <w:br w:type="page"/>
      </w:r>
    </w:p>
    <w:p w14:paraId="58A9E1E2" w14:textId="28EAC581" w:rsidR="00DD37F6" w:rsidRPr="00165533" w:rsidRDefault="004213EA" w:rsidP="004213EA">
      <w:pPr>
        <w:rPr>
          <w:rFonts w:ascii="Arial" w:hAnsi="Arial" w:cs="Arial"/>
          <w:b/>
          <w:color w:val="1F3864" w:themeColor="accent1" w:themeShade="80"/>
          <w:sz w:val="28"/>
        </w:rPr>
      </w:pPr>
      <w:r w:rsidRPr="00165533">
        <w:rPr>
          <w:rFonts w:ascii="Arial" w:hAnsi="Arial" w:cs="Arial"/>
          <w:b/>
          <w:color w:val="1F3864" w:themeColor="accent1" w:themeShade="80"/>
          <w:sz w:val="28"/>
        </w:rPr>
        <w:lastRenderedPageBreak/>
        <w:t>Summary of Acti</w:t>
      </w:r>
      <w:r w:rsidR="00FA6320" w:rsidRPr="00165533">
        <w:rPr>
          <w:rFonts w:ascii="Arial" w:hAnsi="Arial" w:cs="Arial"/>
          <w:b/>
          <w:color w:val="1F3864" w:themeColor="accent1" w:themeShade="80"/>
          <w:sz w:val="28"/>
        </w:rPr>
        <w:t>o</w:t>
      </w:r>
      <w:r w:rsidR="00BE085C" w:rsidRPr="00165533">
        <w:rPr>
          <w:rFonts w:ascii="Arial" w:hAnsi="Arial" w:cs="Arial"/>
          <w:b/>
          <w:color w:val="1F3864" w:themeColor="accent1" w:themeShade="80"/>
          <w:sz w:val="28"/>
        </w:rPr>
        <w:t>n</w:t>
      </w:r>
    </w:p>
    <w:p w14:paraId="27A6A9BA" w14:textId="77777777" w:rsidR="00472EC9" w:rsidRPr="00165533" w:rsidRDefault="00472EC9" w:rsidP="004213EA">
      <w:pPr>
        <w:rPr>
          <w:rFonts w:ascii="Arial" w:hAnsi="Arial" w:cs="Arial"/>
          <w:b/>
          <w:color w:val="1F3864" w:themeColor="accent1" w:themeShade="80"/>
          <w:sz w:val="16"/>
          <w:szCs w:val="16"/>
        </w:rPr>
      </w:pPr>
    </w:p>
    <w:tbl>
      <w:tblPr>
        <w:tblStyle w:val="TableGrid"/>
        <w:tblW w:w="0" w:type="auto"/>
        <w:tblLook w:val="04A0" w:firstRow="1" w:lastRow="0" w:firstColumn="1" w:lastColumn="0" w:noHBand="0" w:noVBand="1"/>
      </w:tblPr>
      <w:tblGrid>
        <w:gridCol w:w="2689"/>
        <w:gridCol w:w="4252"/>
        <w:gridCol w:w="5670"/>
        <w:gridCol w:w="1337"/>
      </w:tblGrid>
      <w:tr w:rsidR="00DD37F6" w:rsidRPr="00165533" w14:paraId="53E9ECA7" w14:textId="77777777" w:rsidTr="477A49B1">
        <w:tc>
          <w:tcPr>
            <w:tcW w:w="2689" w:type="dxa"/>
            <w:shd w:val="clear" w:color="auto" w:fill="2F5496" w:themeFill="accent1" w:themeFillShade="BF"/>
          </w:tcPr>
          <w:p w14:paraId="110EE29F" w14:textId="77777777" w:rsidR="007D6F90" w:rsidRPr="00165533" w:rsidRDefault="007D6F90" w:rsidP="004213EA">
            <w:pPr>
              <w:rPr>
                <w:rFonts w:ascii="Arial" w:hAnsi="Arial" w:cs="Arial"/>
                <w:b/>
                <w:color w:val="FFFFFF" w:themeColor="background1"/>
                <w:sz w:val="24"/>
                <w:szCs w:val="24"/>
              </w:rPr>
            </w:pPr>
          </w:p>
          <w:p w14:paraId="6389ABD9" w14:textId="77777777" w:rsidR="00DD37F6" w:rsidRPr="00165533" w:rsidRDefault="0000445E" w:rsidP="004213EA">
            <w:pPr>
              <w:rPr>
                <w:rFonts w:ascii="Arial" w:hAnsi="Arial" w:cs="Arial"/>
                <w:b/>
                <w:color w:val="FFFFFF" w:themeColor="background1"/>
                <w:sz w:val="24"/>
                <w:szCs w:val="24"/>
              </w:rPr>
            </w:pPr>
            <w:r w:rsidRPr="00165533">
              <w:rPr>
                <w:rFonts w:ascii="Arial" w:hAnsi="Arial" w:cs="Arial"/>
                <w:b/>
                <w:color w:val="FFFFFF" w:themeColor="background1"/>
                <w:sz w:val="24"/>
                <w:szCs w:val="24"/>
              </w:rPr>
              <w:t>Req</w:t>
            </w:r>
            <w:r w:rsidR="00CB6EEE" w:rsidRPr="00165533">
              <w:rPr>
                <w:rFonts w:ascii="Arial" w:hAnsi="Arial" w:cs="Arial"/>
                <w:b/>
                <w:color w:val="FFFFFF" w:themeColor="background1"/>
                <w:sz w:val="24"/>
                <w:szCs w:val="24"/>
              </w:rPr>
              <w:t>uirement</w:t>
            </w:r>
            <w:r w:rsidR="00EA2031" w:rsidRPr="00165533">
              <w:rPr>
                <w:rFonts w:ascii="Arial" w:hAnsi="Arial" w:cs="Arial"/>
                <w:b/>
                <w:color w:val="FFFFFF" w:themeColor="background1"/>
                <w:sz w:val="24"/>
                <w:szCs w:val="24"/>
              </w:rPr>
              <w:t xml:space="preserve"> </w:t>
            </w:r>
            <w:r w:rsidR="0098457E" w:rsidRPr="00165533">
              <w:rPr>
                <w:rFonts w:ascii="Arial" w:hAnsi="Arial" w:cs="Arial"/>
                <w:b/>
                <w:color w:val="FFFFFF" w:themeColor="background1"/>
                <w:sz w:val="24"/>
                <w:szCs w:val="24"/>
              </w:rPr>
              <w:t>number</w:t>
            </w:r>
          </w:p>
          <w:p w14:paraId="56DC5830" w14:textId="5121999C" w:rsidR="007D6F90" w:rsidRPr="00165533" w:rsidRDefault="007D6F90" w:rsidP="004213EA">
            <w:pPr>
              <w:rPr>
                <w:rFonts w:ascii="Arial" w:hAnsi="Arial" w:cs="Arial"/>
                <w:b/>
                <w:color w:val="FFFFFF" w:themeColor="background1"/>
                <w:sz w:val="24"/>
                <w:szCs w:val="24"/>
              </w:rPr>
            </w:pPr>
          </w:p>
        </w:tc>
        <w:tc>
          <w:tcPr>
            <w:tcW w:w="4252" w:type="dxa"/>
            <w:shd w:val="clear" w:color="auto" w:fill="2F5496" w:themeFill="accent1" w:themeFillShade="BF"/>
          </w:tcPr>
          <w:p w14:paraId="6A0B1FDB" w14:textId="77777777" w:rsidR="007D6F90" w:rsidRPr="00165533" w:rsidRDefault="007D6F90" w:rsidP="004213EA">
            <w:pPr>
              <w:rPr>
                <w:rFonts w:ascii="Arial" w:hAnsi="Arial" w:cs="Arial"/>
                <w:b/>
                <w:color w:val="FFFFFF" w:themeColor="background1"/>
                <w:sz w:val="24"/>
                <w:szCs w:val="24"/>
              </w:rPr>
            </w:pPr>
          </w:p>
          <w:p w14:paraId="17000BBF" w14:textId="77CF62B8" w:rsidR="00DD37F6" w:rsidRPr="00165533" w:rsidRDefault="0000445E" w:rsidP="004213EA">
            <w:pPr>
              <w:rPr>
                <w:rFonts w:ascii="Arial" w:hAnsi="Arial" w:cs="Arial"/>
                <w:b/>
                <w:color w:val="FFFFFF" w:themeColor="background1"/>
                <w:sz w:val="24"/>
                <w:szCs w:val="24"/>
              </w:rPr>
            </w:pPr>
            <w:r w:rsidRPr="00165533">
              <w:rPr>
                <w:rFonts w:ascii="Arial" w:hAnsi="Arial" w:cs="Arial"/>
                <w:b/>
                <w:color w:val="FFFFFF" w:themeColor="background1"/>
                <w:sz w:val="24"/>
                <w:szCs w:val="24"/>
              </w:rPr>
              <w:t>Action</w:t>
            </w:r>
          </w:p>
          <w:p w14:paraId="5E301E19" w14:textId="5C386771" w:rsidR="007D6F90" w:rsidRPr="00165533" w:rsidRDefault="007D6F90" w:rsidP="004213EA">
            <w:pPr>
              <w:rPr>
                <w:rFonts w:ascii="Arial" w:hAnsi="Arial" w:cs="Arial"/>
                <w:b/>
                <w:color w:val="FFFFFF" w:themeColor="background1"/>
                <w:sz w:val="24"/>
                <w:szCs w:val="24"/>
              </w:rPr>
            </w:pPr>
          </w:p>
        </w:tc>
        <w:tc>
          <w:tcPr>
            <w:tcW w:w="5670" w:type="dxa"/>
            <w:shd w:val="clear" w:color="auto" w:fill="2F5496" w:themeFill="accent1" w:themeFillShade="BF"/>
          </w:tcPr>
          <w:p w14:paraId="606ADA68" w14:textId="77777777" w:rsidR="007D6F90" w:rsidRPr="00165533" w:rsidRDefault="007D6F90" w:rsidP="004213EA">
            <w:pPr>
              <w:rPr>
                <w:rFonts w:ascii="Arial" w:hAnsi="Arial" w:cs="Arial"/>
                <w:b/>
                <w:sz w:val="24"/>
                <w:szCs w:val="24"/>
              </w:rPr>
            </w:pPr>
          </w:p>
          <w:p w14:paraId="76FF9E2A" w14:textId="47D20DDE" w:rsidR="00DD37F6" w:rsidRPr="00165533" w:rsidRDefault="0000445E" w:rsidP="004213EA">
            <w:pPr>
              <w:rPr>
                <w:rFonts w:ascii="Arial" w:hAnsi="Arial" w:cs="Arial"/>
                <w:b/>
                <w:sz w:val="24"/>
                <w:szCs w:val="24"/>
              </w:rPr>
            </w:pPr>
            <w:r w:rsidRPr="00165533">
              <w:rPr>
                <w:rFonts w:ascii="Arial" w:hAnsi="Arial" w:cs="Arial"/>
                <w:b/>
                <w:color w:val="FFFFFF" w:themeColor="background1"/>
                <w:sz w:val="24"/>
                <w:szCs w:val="24"/>
              </w:rPr>
              <w:t xml:space="preserve">Observations </w:t>
            </w:r>
            <w:r w:rsidR="00EA2031" w:rsidRPr="00165533">
              <w:rPr>
                <w:rFonts w:ascii="Arial" w:hAnsi="Arial" w:cs="Arial"/>
                <w:b/>
                <w:color w:val="FFFFFF" w:themeColor="background1"/>
                <w:sz w:val="24"/>
                <w:szCs w:val="24"/>
              </w:rPr>
              <w:t>&amp; response from Provider</w:t>
            </w:r>
          </w:p>
        </w:tc>
        <w:tc>
          <w:tcPr>
            <w:tcW w:w="1337" w:type="dxa"/>
            <w:shd w:val="clear" w:color="auto" w:fill="2F5496" w:themeFill="accent1" w:themeFillShade="BF"/>
          </w:tcPr>
          <w:p w14:paraId="6ECC28C0" w14:textId="77777777" w:rsidR="007D6F90" w:rsidRPr="00165533" w:rsidRDefault="007D6F90" w:rsidP="004213EA">
            <w:pPr>
              <w:rPr>
                <w:rFonts w:ascii="Arial" w:hAnsi="Arial" w:cs="Arial"/>
                <w:b/>
                <w:color w:val="FFFFFF" w:themeColor="background1"/>
                <w:sz w:val="24"/>
                <w:szCs w:val="24"/>
              </w:rPr>
            </w:pPr>
          </w:p>
          <w:p w14:paraId="47639F7A" w14:textId="7E49C309" w:rsidR="00DD37F6" w:rsidRPr="00165533" w:rsidRDefault="00EA2031" w:rsidP="004213EA">
            <w:pPr>
              <w:rPr>
                <w:rFonts w:ascii="Arial" w:hAnsi="Arial" w:cs="Arial"/>
                <w:b/>
                <w:color w:val="FFFFFF" w:themeColor="background1"/>
                <w:sz w:val="24"/>
                <w:szCs w:val="24"/>
              </w:rPr>
            </w:pPr>
            <w:r w:rsidRPr="00165533">
              <w:rPr>
                <w:rFonts w:ascii="Arial" w:hAnsi="Arial" w:cs="Arial"/>
                <w:b/>
                <w:color w:val="FFFFFF" w:themeColor="background1"/>
                <w:sz w:val="24"/>
                <w:szCs w:val="24"/>
              </w:rPr>
              <w:t>Due date</w:t>
            </w:r>
          </w:p>
        </w:tc>
      </w:tr>
      <w:tr w:rsidR="0098457E" w:rsidRPr="00165533" w14:paraId="3F5E5268" w14:textId="77777777" w:rsidTr="477A49B1">
        <w:tc>
          <w:tcPr>
            <w:tcW w:w="2689" w:type="dxa"/>
            <w:shd w:val="clear" w:color="auto" w:fill="FFFFFF" w:themeFill="background1"/>
          </w:tcPr>
          <w:p w14:paraId="1E71525B" w14:textId="3EDCDE52" w:rsidR="0098457E" w:rsidRPr="00A87D96" w:rsidRDefault="006E28CB" w:rsidP="004213EA">
            <w:pPr>
              <w:rPr>
                <w:rFonts w:ascii="Arial" w:hAnsi="Arial" w:cs="Arial"/>
                <w:color w:val="000000" w:themeColor="text1"/>
              </w:rPr>
            </w:pPr>
            <w:r w:rsidRPr="00A87D96">
              <w:rPr>
                <w:rFonts w:ascii="Arial" w:hAnsi="Arial" w:cs="Arial"/>
                <w:color w:val="000000" w:themeColor="text1"/>
              </w:rPr>
              <w:t>15</w:t>
            </w:r>
          </w:p>
        </w:tc>
        <w:tc>
          <w:tcPr>
            <w:tcW w:w="4252" w:type="dxa"/>
            <w:shd w:val="clear" w:color="auto" w:fill="FFFFFF" w:themeFill="background1"/>
          </w:tcPr>
          <w:p w14:paraId="4D696062" w14:textId="636FA975" w:rsidR="0098457E" w:rsidRPr="00A87D96" w:rsidRDefault="008B4E34" w:rsidP="00D4116E">
            <w:pPr>
              <w:pStyle w:val="ListParagraph"/>
              <w:numPr>
                <w:ilvl w:val="0"/>
                <w:numId w:val="18"/>
              </w:numPr>
              <w:spacing w:after="0" w:line="240" w:lineRule="auto"/>
              <w:rPr>
                <w:rFonts w:ascii="Arial" w:hAnsi="Arial" w:cs="Arial"/>
                <w:color w:val="000000" w:themeColor="text1"/>
              </w:rPr>
            </w:pPr>
            <w:r w:rsidRPr="00A87D96">
              <w:rPr>
                <w:rFonts w:ascii="Arial" w:hAnsi="Arial" w:cs="Arial"/>
                <w:color w:val="000000" w:themeColor="text1"/>
              </w:rPr>
              <w:t>To ensure that students receive adequate exposure to paediatric patients, thereby fostering their clinical competence and confidence by the time of graduation.</w:t>
            </w:r>
          </w:p>
          <w:p w14:paraId="1FE0A7D2" w14:textId="77777777" w:rsidR="00EE5049" w:rsidRPr="00A87D96" w:rsidRDefault="00EE5049" w:rsidP="00EE5049">
            <w:pPr>
              <w:pStyle w:val="ListParagraph"/>
              <w:spacing w:after="0" w:line="240" w:lineRule="auto"/>
              <w:rPr>
                <w:rFonts w:ascii="Arial" w:hAnsi="Arial" w:cs="Arial"/>
                <w:color w:val="000000" w:themeColor="text1"/>
              </w:rPr>
            </w:pPr>
          </w:p>
          <w:p w14:paraId="7C7142A0" w14:textId="185FD723" w:rsidR="008B4E34" w:rsidRPr="00A87D96" w:rsidRDefault="00D4116E" w:rsidP="00D4116E">
            <w:pPr>
              <w:pStyle w:val="ListParagraph"/>
              <w:numPr>
                <w:ilvl w:val="0"/>
                <w:numId w:val="18"/>
              </w:numPr>
              <w:spacing w:after="0" w:line="240" w:lineRule="auto"/>
              <w:rPr>
                <w:rFonts w:ascii="Arial" w:hAnsi="Arial" w:cs="Arial"/>
                <w:color w:val="000000" w:themeColor="text1"/>
              </w:rPr>
            </w:pPr>
            <w:r w:rsidRPr="00A87D96">
              <w:rPr>
                <w:rFonts w:ascii="Arial" w:hAnsi="Arial" w:cs="Arial"/>
                <w:color w:val="000000" w:themeColor="text1"/>
              </w:rPr>
              <w:t>To increase opportunities for BDS students to follow a care pathway for their paediatric patients, so they can see their behaviour-management and acclimatisation strategies work.</w:t>
            </w:r>
          </w:p>
        </w:tc>
        <w:tc>
          <w:tcPr>
            <w:tcW w:w="5670" w:type="dxa"/>
            <w:shd w:val="clear" w:color="auto" w:fill="FFFFFF" w:themeFill="background1"/>
          </w:tcPr>
          <w:p w14:paraId="5BC01775" w14:textId="3DB3512C" w:rsidR="0098457E" w:rsidRPr="00A87D96" w:rsidRDefault="45CFFD45" w:rsidP="680CB2F4">
            <w:pPr>
              <w:rPr>
                <w:rFonts w:ascii="Arial" w:hAnsi="Arial" w:cs="Arial"/>
              </w:rPr>
            </w:pPr>
            <w:r w:rsidRPr="00A87D96">
              <w:rPr>
                <w:rFonts w:ascii="Arial" w:hAnsi="Arial" w:cs="Arial"/>
              </w:rPr>
              <w:t>Thank you for your comments</w:t>
            </w:r>
            <w:r w:rsidR="4AF1AB11" w:rsidRPr="00A87D96">
              <w:rPr>
                <w:rFonts w:ascii="Arial" w:hAnsi="Arial" w:cs="Arial"/>
              </w:rPr>
              <w:t xml:space="preserve"> and suggestions</w:t>
            </w:r>
            <w:r w:rsidRPr="00A87D96">
              <w:rPr>
                <w:rFonts w:ascii="Arial" w:hAnsi="Arial" w:cs="Arial"/>
              </w:rPr>
              <w:t xml:space="preserve">.  Students </w:t>
            </w:r>
            <w:r w:rsidR="7B4BA3F1" w:rsidRPr="00A87D96">
              <w:rPr>
                <w:rFonts w:ascii="Arial" w:hAnsi="Arial" w:cs="Arial"/>
              </w:rPr>
              <w:t xml:space="preserve">currently </w:t>
            </w:r>
            <w:r w:rsidR="6674A6AC" w:rsidRPr="00A87D96">
              <w:rPr>
                <w:rFonts w:ascii="Arial" w:hAnsi="Arial" w:cs="Arial"/>
              </w:rPr>
              <w:t>attend weekly Paediatric clinics in year 3 and 4</w:t>
            </w:r>
            <w:r w:rsidR="44DB6C7A" w:rsidRPr="00A87D96">
              <w:rPr>
                <w:rFonts w:ascii="Arial" w:hAnsi="Arial" w:cs="Arial"/>
              </w:rPr>
              <w:t>,</w:t>
            </w:r>
            <w:r w:rsidR="35CD93B3" w:rsidRPr="00A87D96">
              <w:rPr>
                <w:rFonts w:ascii="Arial" w:hAnsi="Arial" w:cs="Arial"/>
              </w:rPr>
              <w:t xml:space="preserve"> </w:t>
            </w:r>
            <w:r w:rsidR="02162DE1" w:rsidRPr="00A87D96">
              <w:rPr>
                <w:rFonts w:ascii="Arial" w:hAnsi="Arial" w:cs="Arial"/>
              </w:rPr>
              <w:t>(Year 5 fortnightly)</w:t>
            </w:r>
            <w:r w:rsidR="35CD93B3" w:rsidRPr="00A87D96">
              <w:rPr>
                <w:rFonts w:ascii="Arial" w:hAnsi="Arial" w:cs="Arial"/>
              </w:rPr>
              <w:t xml:space="preserve"> </w:t>
            </w:r>
            <w:r w:rsidR="7B4BA3F1" w:rsidRPr="00A87D96">
              <w:rPr>
                <w:rFonts w:ascii="Arial" w:hAnsi="Arial" w:cs="Arial"/>
              </w:rPr>
              <w:t xml:space="preserve">to </w:t>
            </w:r>
            <w:r w:rsidR="6674A6AC" w:rsidRPr="00A87D96">
              <w:rPr>
                <w:rFonts w:ascii="Arial" w:hAnsi="Arial" w:cs="Arial"/>
              </w:rPr>
              <w:t>provid</w:t>
            </w:r>
            <w:r w:rsidR="7B4BA3F1" w:rsidRPr="00A87D96">
              <w:rPr>
                <w:rFonts w:ascii="Arial" w:hAnsi="Arial" w:cs="Arial"/>
              </w:rPr>
              <w:t>e</w:t>
            </w:r>
            <w:r w:rsidR="487CA285" w:rsidRPr="00A87D96">
              <w:rPr>
                <w:rFonts w:ascii="Arial" w:hAnsi="Arial" w:cs="Arial"/>
              </w:rPr>
              <w:t xml:space="preserve"> </w:t>
            </w:r>
            <w:r w:rsidR="6674A6AC" w:rsidRPr="00A87D96">
              <w:rPr>
                <w:rFonts w:ascii="Arial" w:hAnsi="Arial" w:cs="Arial"/>
              </w:rPr>
              <w:t>Paediatric dental care</w:t>
            </w:r>
            <w:r w:rsidR="7B4BA3F1" w:rsidRPr="00A87D96">
              <w:rPr>
                <w:rFonts w:ascii="Arial" w:hAnsi="Arial" w:cs="Arial"/>
              </w:rPr>
              <w:t>.</w:t>
            </w:r>
            <w:r w:rsidR="15292FB8" w:rsidRPr="00A87D96">
              <w:rPr>
                <w:rFonts w:ascii="Arial" w:hAnsi="Arial" w:cs="Arial"/>
              </w:rPr>
              <w:t xml:space="preserve">  At the start of each clinical session students attend </w:t>
            </w:r>
            <w:r w:rsidR="166E6B24" w:rsidRPr="00A87D96">
              <w:rPr>
                <w:rFonts w:ascii="Arial" w:hAnsi="Arial" w:cs="Arial"/>
              </w:rPr>
              <w:t xml:space="preserve">Paediatric/Orthodontic Case Based Seminars </w:t>
            </w:r>
            <w:r w:rsidR="6674A6AC" w:rsidRPr="00A87D96">
              <w:rPr>
                <w:rFonts w:ascii="Arial" w:hAnsi="Arial" w:cs="Arial"/>
              </w:rPr>
              <w:t>at the School of Dentistry, Cardiff</w:t>
            </w:r>
            <w:r w:rsidR="15292FB8" w:rsidRPr="00A87D96">
              <w:rPr>
                <w:rFonts w:ascii="Arial" w:hAnsi="Arial" w:cs="Arial"/>
              </w:rPr>
              <w:t xml:space="preserve"> to apply </w:t>
            </w:r>
            <w:r w:rsidR="3949ED2E" w:rsidRPr="00A87D96">
              <w:rPr>
                <w:rFonts w:ascii="Arial" w:hAnsi="Arial" w:cs="Arial"/>
              </w:rPr>
              <w:t>didactic knowledge to clinical scenarios</w:t>
            </w:r>
            <w:r w:rsidR="494B62C5" w:rsidRPr="00A87D96">
              <w:rPr>
                <w:rFonts w:ascii="Arial" w:hAnsi="Arial" w:cs="Arial"/>
              </w:rPr>
              <w:t>.</w:t>
            </w:r>
            <w:r w:rsidR="272A9EFD" w:rsidRPr="00A87D96">
              <w:rPr>
                <w:rFonts w:ascii="Arial" w:hAnsi="Arial" w:cs="Arial"/>
              </w:rPr>
              <w:t xml:space="preserve"> </w:t>
            </w:r>
            <w:r w:rsidR="494B62C5" w:rsidRPr="00A87D96">
              <w:rPr>
                <w:rFonts w:ascii="Arial" w:hAnsi="Arial" w:cs="Arial"/>
              </w:rPr>
              <w:t xml:space="preserve">Students also attend during year 5 clinical placements at </w:t>
            </w:r>
            <w:r w:rsidR="3949ED2E" w:rsidRPr="00A87D96">
              <w:rPr>
                <w:rFonts w:ascii="Arial" w:hAnsi="Arial" w:cs="Arial"/>
              </w:rPr>
              <w:t>Community</w:t>
            </w:r>
            <w:r w:rsidR="494B62C5" w:rsidRPr="00A87D96">
              <w:rPr>
                <w:rFonts w:ascii="Arial" w:hAnsi="Arial" w:cs="Arial"/>
              </w:rPr>
              <w:t xml:space="preserve"> Dental Service Clinics to provide </w:t>
            </w:r>
            <w:r w:rsidRPr="00A87D96">
              <w:rPr>
                <w:rFonts w:ascii="Arial" w:hAnsi="Arial" w:cs="Arial"/>
              </w:rPr>
              <w:t>paediatric care</w:t>
            </w:r>
            <w:r w:rsidR="3158C6AC" w:rsidRPr="00A87D96">
              <w:rPr>
                <w:rFonts w:ascii="Arial" w:hAnsi="Arial" w:cs="Arial"/>
              </w:rPr>
              <w:t>.</w:t>
            </w:r>
          </w:p>
          <w:p w14:paraId="256C174D" w14:textId="68A1597F" w:rsidR="23BE666B" w:rsidRPr="00A87D96" w:rsidRDefault="23BE666B" w:rsidP="23BE666B">
            <w:pPr>
              <w:rPr>
                <w:rFonts w:ascii="Arial" w:hAnsi="Arial" w:cs="Arial"/>
              </w:rPr>
            </w:pPr>
          </w:p>
          <w:p w14:paraId="11ADDFB1" w14:textId="5C901F03" w:rsidR="00EE5049" w:rsidRDefault="530C5D2D" w:rsidP="006B656B">
            <w:pPr>
              <w:rPr>
                <w:rFonts w:ascii="Arial" w:hAnsi="Arial" w:cs="Arial"/>
              </w:rPr>
            </w:pPr>
            <w:r w:rsidRPr="00A87D96">
              <w:rPr>
                <w:rFonts w:ascii="Arial" w:hAnsi="Arial" w:cs="Arial"/>
              </w:rPr>
              <w:t xml:space="preserve">The school recognise and want to adopt a process for continued </w:t>
            </w:r>
            <w:r w:rsidR="170D2D1E" w:rsidRPr="00A87D96">
              <w:rPr>
                <w:rFonts w:ascii="Arial" w:hAnsi="Arial" w:cs="Arial"/>
              </w:rPr>
              <w:t>patient</w:t>
            </w:r>
            <w:r w:rsidRPr="00A87D96">
              <w:rPr>
                <w:rFonts w:ascii="Arial" w:hAnsi="Arial" w:cs="Arial"/>
              </w:rPr>
              <w:t xml:space="preserve"> care in the </w:t>
            </w:r>
            <w:r w:rsidR="5635ECC2" w:rsidRPr="00A87D96">
              <w:rPr>
                <w:rFonts w:ascii="Arial" w:hAnsi="Arial" w:cs="Arial"/>
              </w:rPr>
              <w:t>P</w:t>
            </w:r>
            <w:r w:rsidRPr="00A87D96">
              <w:rPr>
                <w:rFonts w:ascii="Arial" w:hAnsi="Arial" w:cs="Arial"/>
              </w:rPr>
              <w:t xml:space="preserve">aediatric </w:t>
            </w:r>
            <w:r w:rsidR="33556884" w:rsidRPr="00A87D96">
              <w:rPr>
                <w:rFonts w:ascii="Arial" w:hAnsi="Arial" w:cs="Arial"/>
              </w:rPr>
              <w:t>department</w:t>
            </w:r>
            <w:r w:rsidRPr="00A87D96">
              <w:rPr>
                <w:rFonts w:ascii="Arial" w:hAnsi="Arial" w:cs="Arial"/>
              </w:rPr>
              <w:t xml:space="preserve"> </w:t>
            </w:r>
            <w:r w:rsidR="27DC094F" w:rsidRPr="00A87D96">
              <w:rPr>
                <w:rFonts w:ascii="Arial" w:hAnsi="Arial" w:cs="Arial"/>
              </w:rPr>
              <w:t xml:space="preserve">at the School of Dentistry, Cardiff </w:t>
            </w:r>
            <w:r w:rsidRPr="00A87D96">
              <w:rPr>
                <w:rFonts w:ascii="Arial" w:hAnsi="Arial" w:cs="Arial"/>
              </w:rPr>
              <w:t xml:space="preserve">and </w:t>
            </w:r>
            <w:r w:rsidR="52EBBF8C" w:rsidRPr="00A87D96">
              <w:rPr>
                <w:rFonts w:ascii="Arial" w:hAnsi="Arial" w:cs="Arial"/>
              </w:rPr>
              <w:t xml:space="preserve">has had discussions </w:t>
            </w:r>
            <w:r w:rsidR="4515E08D" w:rsidRPr="00A87D96">
              <w:rPr>
                <w:rFonts w:ascii="Arial" w:hAnsi="Arial" w:cs="Arial"/>
              </w:rPr>
              <w:t xml:space="preserve">with the NHS to implement </w:t>
            </w:r>
            <w:r w:rsidR="1D96EE9C" w:rsidRPr="00A87D96">
              <w:rPr>
                <w:rFonts w:ascii="Arial" w:hAnsi="Arial" w:cs="Arial"/>
              </w:rPr>
              <w:t>amendments</w:t>
            </w:r>
            <w:r w:rsidR="3C10195D" w:rsidRPr="00A87D96">
              <w:rPr>
                <w:rFonts w:ascii="Arial" w:hAnsi="Arial" w:cs="Arial"/>
              </w:rPr>
              <w:t xml:space="preserve"> </w:t>
            </w:r>
            <w:r w:rsidR="00A87D96" w:rsidRPr="00A87D96">
              <w:rPr>
                <w:rFonts w:ascii="Arial" w:hAnsi="Arial" w:cs="Arial"/>
              </w:rPr>
              <w:t>including</w:t>
            </w:r>
            <w:r w:rsidR="00A87D96">
              <w:rPr>
                <w:rFonts w:ascii="Arial" w:hAnsi="Arial" w:cs="Arial"/>
              </w:rPr>
              <w:t>:</w:t>
            </w:r>
          </w:p>
          <w:p w14:paraId="2015CF94" w14:textId="77777777" w:rsidR="00A87D96" w:rsidRPr="00A87D96" w:rsidRDefault="00A87D96" w:rsidP="006B656B">
            <w:pPr>
              <w:rPr>
                <w:rFonts w:ascii="Arial" w:hAnsi="Arial" w:cs="Arial"/>
              </w:rPr>
            </w:pPr>
          </w:p>
          <w:p w14:paraId="2246A1CD" w14:textId="655A4C1B" w:rsidR="000B3645" w:rsidRPr="00A87D96" w:rsidRDefault="09BA8453" w:rsidP="00EE5049">
            <w:pPr>
              <w:pStyle w:val="ListParagraph"/>
              <w:numPr>
                <w:ilvl w:val="0"/>
                <w:numId w:val="24"/>
              </w:numPr>
              <w:rPr>
                <w:rFonts w:ascii="Arial" w:hAnsi="Arial" w:cs="Arial"/>
              </w:rPr>
            </w:pPr>
            <w:r w:rsidRPr="00A87D96">
              <w:rPr>
                <w:rFonts w:ascii="Arial" w:hAnsi="Arial" w:cs="Arial"/>
              </w:rPr>
              <w:t>Developing a new pathway for referral of appropriate patients for students fr</w:t>
            </w:r>
            <w:r w:rsidR="2D5A25CF" w:rsidRPr="00A87D96">
              <w:rPr>
                <w:rFonts w:ascii="Arial" w:hAnsi="Arial" w:cs="Arial"/>
              </w:rPr>
              <w:t>o</w:t>
            </w:r>
            <w:r w:rsidRPr="00A87D96">
              <w:rPr>
                <w:rFonts w:ascii="Arial" w:hAnsi="Arial" w:cs="Arial"/>
              </w:rPr>
              <w:t>m primary care</w:t>
            </w:r>
            <w:r w:rsidR="1D96EE9C" w:rsidRPr="00A87D96">
              <w:rPr>
                <w:rFonts w:ascii="Arial" w:hAnsi="Arial" w:cs="Arial"/>
              </w:rPr>
              <w:t xml:space="preserve"> setting.</w:t>
            </w:r>
          </w:p>
          <w:p w14:paraId="14C31B47" w14:textId="0007DA1E" w:rsidR="000B3645" w:rsidRPr="00A87D96" w:rsidRDefault="31E0466B" w:rsidP="000B3645">
            <w:pPr>
              <w:pStyle w:val="ListParagraph"/>
              <w:numPr>
                <w:ilvl w:val="0"/>
                <w:numId w:val="24"/>
              </w:numPr>
              <w:rPr>
                <w:rFonts w:ascii="Arial" w:hAnsi="Arial" w:cs="Arial"/>
              </w:rPr>
            </w:pPr>
            <w:r w:rsidRPr="00A87D96">
              <w:rPr>
                <w:rFonts w:ascii="Arial" w:hAnsi="Arial" w:cs="Arial"/>
              </w:rPr>
              <w:t>In</w:t>
            </w:r>
            <w:r w:rsidR="09BA8453" w:rsidRPr="00A87D96">
              <w:rPr>
                <w:rFonts w:ascii="Arial" w:hAnsi="Arial" w:cs="Arial"/>
              </w:rPr>
              <w:t xml:space="preserve">itiating </w:t>
            </w:r>
            <w:r w:rsidR="1D96EE9C" w:rsidRPr="00A87D96">
              <w:rPr>
                <w:rFonts w:ascii="Arial" w:hAnsi="Arial" w:cs="Arial"/>
              </w:rPr>
              <w:t xml:space="preserve">a </w:t>
            </w:r>
            <w:r w:rsidR="530C5D2D" w:rsidRPr="00A87D96">
              <w:rPr>
                <w:rFonts w:ascii="Arial" w:hAnsi="Arial" w:cs="Arial"/>
              </w:rPr>
              <w:t xml:space="preserve">new </w:t>
            </w:r>
            <w:r w:rsidR="61BE4E42" w:rsidRPr="00A87D96">
              <w:rPr>
                <w:rFonts w:ascii="Arial" w:hAnsi="Arial" w:cs="Arial"/>
              </w:rPr>
              <w:t xml:space="preserve">student </w:t>
            </w:r>
            <w:r w:rsidR="45CDE886" w:rsidRPr="00A87D96">
              <w:rPr>
                <w:rFonts w:ascii="Arial" w:hAnsi="Arial" w:cs="Arial"/>
              </w:rPr>
              <w:t>treatment</w:t>
            </w:r>
            <w:r w:rsidR="05904EAB" w:rsidRPr="00A87D96">
              <w:rPr>
                <w:rFonts w:ascii="Arial" w:hAnsi="Arial" w:cs="Arial"/>
              </w:rPr>
              <w:t xml:space="preserve"> </w:t>
            </w:r>
            <w:r w:rsidR="3E663922" w:rsidRPr="00A87D96">
              <w:rPr>
                <w:rFonts w:ascii="Arial" w:hAnsi="Arial" w:cs="Arial"/>
              </w:rPr>
              <w:t xml:space="preserve">planning clinic </w:t>
            </w:r>
          </w:p>
          <w:p w14:paraId="2B972F74" w14:textId="0DD3FAF0" w:rsidR="680CB2F4" w:rsidRPr="00A87D96" w:rsidRDefault="1CFC08D4" w:rsidP="00FE5E51">
            <w:pPr>
              <w:pStyle w:val="ListParagraph"/>
              <w:numPr>
                <w:ilvl w:val="0"/>
                <w:numId w:val="24"/>
              </w:numPr>
              <w:rPr>
                <w:rFonts w:ascii="Arial" w:hAnsi="Arial" w:cs="Arial"/>
              </w:rPr>
            </w:pPr>
            <w:r w:rsidRPr="00A87D96">
              <w:rPr>
                <w:rFonts w:ascii="Arial" w:hAnsi="Arial" w:cs="Arial"/>
              </w:rPr>
              <w:t xml:space="preserve">The </w:t>
            </w:r>
            <w:r w:rsidR="48111953" w:rsidRPr="00A87D96">
              <w:rPr>
                <w:rFonts w:ascii="Arial" w:hAnsi="Arial" w:cs="Arial"/>
              </w:rPr>
              <w:t>i</w:t>
            </w:r>
            <w:r w:rsidR="530C5D2D" w:rsidRPr="00A87D96">
              <w:rPr>
                <w:rFonts w:ascii="Arial" w:hAnsi="Arial" w:cs="Arial"/>
              </w:rPr>
              <w:t>mplementation of Salud 2</w:t>
            </w:r>
            <w:r w:rsidR="70552062" w:rsidRPr="00A87D96">
              <w:rPr>
                <w:rFonts w:ascii="Arial" w:hAnsi="Arial" w:cs="Arial"/>
              </w:rPr>
              <w:t xml:space="preserve"> </w:t>
            </w:r>
            <w:r w:rsidR="533514EB" w:rsidRPr="00A87D96">
              <w:rPr>
                <w:rFonts w:ascii="Arial" w:hAnsi="Arial" w:cs="Arial"/>
              </w:rPr>
              <w:t xml:space="preserve">(Titanium) within the University Dental Hospital will </w:t>
            </w:r>
            <w:r w:rsidR="5FEC348B" w:rsidRPr="00A87D96">
              <w:rPr>
                <w:rFonts w:ascii="Arial" w:hAnsi="Arial" w:cs="Arial"/>
              </w:rPr>
              <w:t xml:space="preserve">enable </w:t>
            </w:r>
            <w:r w:rsidR="0668A835" w:rsidRPr="00A87D96">
              <w:rPr>
                <w:rFonts w:ascii="Arial" w:hAnsi="Arial" w:cs="Arial"/>
              </w:rPr>
              <w:t xml:space="preserve">facilitation of assigning </w:t>
            </w:r>
            <w:r w:rsidR="5FEC348B" w:rsidRPr="00A87D96">
              <w:rPr>
                <w:rFonts w:ascii="Arial" w:hAnsi="Arial" w:cs="Arial"/>
              </w:rPr>
              <w:t>patients to</w:t>
            </w:r>
            <w:r w:rsidR="046CDF1E" w:rsidRPr="00A87D96">
              <w:rPr>
                <w:rFonts w:ascii="Arial" w:hAnsi="Arial" w:cs="Arial"/>
              </w:rPr>
              <w:t xml:space="preserve"> students for </w:t>
            </w:r>
            <w:r w:rsidR="7E169FB2" w:rsidRPr="00A87D96">
              <w:rPr>
                <w:rFonts w:ascii="Arial" w:hAnsi="Arial" w:cs="Arial"/>
              </w:rPr>
              <w:t xml:space="preserve">continuity of paediatric patient </w:t>
            </w:r>
            <w:r w:rsidR="046CDF1E" w:rsidRPr="00A87D96">
              <w:rPr>
                <w:rFonts w:ascii="Arial" w:hAnsi="Arial" w:cs="Arial"/>
              </w:rPr>
              <w:t>dental care</w:t>
            </w:r>
            <w:r w:rsidR="7E169FB2" w:rsidRPr="00A87D96">
              <w:rPr>
                <w:rFonts w:ascii="Arial" w:hAnsi="Arial" w:cs="Arial"/>
              </w:rPr>
              <w:t>.</w:t>
            </w:r>
            <w:r w:rsidR="046CDF1E" w:rsidRPr="00A87D96">
              <w:rPr>
                <w:rFonts w:ascii="Arial" w:hAnsi="Arial" w:cs="Arial"/>
              </w:rPr>
              <w:t xml:space="preserve"> </w:t>
            </w:r>
          </w:p>
          <w:p w14:paraId="6C7E734D" w14:textId="77777777" w:rsidR="0098457E" w:rsidRPr="00A87D96" w:rsidRDefault="487CA285" w:rsidP="004213EA">
            <w:pPr>
              <w:rPr>
                <w:rFonts w:ascii="Arial" w:hAnsi="Arial" w:cs="Arial"/>
              </w:rPr>
            </w:pPr>
            <w:r w:rsidRPr="00A87D96">
              <w:rPr>
                <w:rFonts w:ascii="Arial" w:hAnsi="Arial" w:cs="Arial"/>
              </w:rPr>
              <w:lastRenderedPageBreak/>
              <w:t xml:space="preserve">A new </w:t>
            </w:r>
            <w:r w:rsidR="75750DA5" w:rsidRPr="00A87D96">
              <w:rPr>
                <w:rFonts w:ascii="Arial" w:hAnsi="Arial" w:cs="Arial"/>
              </w:rPr>
              <w:t xml:space="preserve">outreach placement within Powys, will enable students to work in rural dental settings and exposure to </w:t>
            </w:r>
            <w:r w:rsidR="239AC31F" w:rsidRPr="00A87D96">
              <w:rPr>
                <w:rFonts w:ascii="Arial" w:hAnsi="Arial" w:cs="Arial"/>
              </w:rPr>
              <w:t>General</w:t>
            </w:r>
            <w:r w:rsidR="75750DA5" w:rsidRPr="00A87D96">
              <w:rPr>
                <w:rFonts w:ascii="Arial" w:hAnsi="Arial" w:cs="Arial"/>
              </w:rPr>
              <w:t xml:space="preserve"> Dental Service clinics.  Students will </w:t>
            </w:r>
            <w:r w:rsidR="239AC31F" w:rsidRPr="00A87D96">
              <w:rPr>
                <w:rFonts w:ascii="Arial" w:hAnsi="Arial" w:cs="Arial"/>
              </w:rPr>
              <w:t xml:space="preserve">treat both adult and paediatric patients in these settings. </w:t>
            </w:r>
          </w:p>
          <w:p w14:paraId="2015DE9A" w14:textId="776976F5" w:rsidR="00A87D96" w:rsidRPr="00A87D96" w:rsidRDefault="00A87D96" w:rsidP="004213EA">
            <w:pPr>
              <w:rPr>
                <w:rFonts w:ascii="Arial" w:hAnsi="Arial" w:cs="Arial"/>
                <w:color w:val="4472C4" w:themeColor="accent1"/>
              </w:rPr>
            </w:pPr>
          </w:p>
        </w:tc>
        <w:tc>
          <w:tcPr>
            <w:tcW w:w="1337" w:type="dxa"/>
            <w:shd w:val="clear" w:color="auto" w:fill="FFFFFF" w:themeFill="background1"/>
          </w:tcPr>
          <w:p w14:paraId="020971C5" w14:textId="77777777" w:rsidR="0098457E" w:rsidRPr="00165533" w:rsidRDefault="0098457E" w:rsidP="004213EA">
            <w:pPr>
              <w:rPr>
                <w:rFonts w:ascii="Arial" w:hAnsi="Arial" w:cs="Arial"/>
                <w:sz w:val="24"/>
                <w:szCs w:val="24"/>
              </w:rPr>
            </w:pPr>
          </w:p>
        </w:tc>
      </w:tr>
    </w:tbl>
    <w:p w14:paraId="2E3295AE" w14:textId="77777777" w:rsidR="00DD37F6" w:rsidRPr="00165533" w:rsidRDefault="00DD37F6" w:rsidP="004213EA">
      <w:pPr>
        <w:rPr>
          <w:rFonts w:ascii="Arial" w:hAnsi="Arial" w:cs="Arial"/>
          <w:b/>
          <w:color w:val="1F3864" w:themeColor="accent1" w:themeShade="80"/>
          <w:sz w:val="28"/>
        </w:rPr>
      </w:pPr>
    </w:p>
    <w:p w14:paraId="5691527E" w14:textId="77777777" w:rsidR="0075694B" w:rsidRPr="00165533" w:rsidRDefault="0075694B" w:rsidP="0075694B">
      <w:pPr>
        <w:rPr>
          <w:rFonts w:ascii="Arial" w:hAnsi="Arial" w:cs="Arial"/>
          <w:b/>
          <w:color w:val="244061"/>
          <w:sz w:val="28"/>
          <w:szCs w:val="28"/>
        </w:rPr>
      </w:pPr>
      <w:r w:rsidRPr="00165533">
        <w:rPr>
          <w:rFonts w:ascii="Arial" w:hAnsi="Arial" w:cs="Arial"/>
          <w:b/>
          <w:color w:val="244061"/>
          <w:sz w:val="28"/>
          <w:szCs w:val="28"/>
        </w:rPr>
        <w:t xml:space="preserve">Observations from the provider on content of report </w:t>
      </w:r>
    </w:p>
    <w:p w14:paraId="4645A79A" w14:textId="77777777" w:rsidR="00472EC9" w:rsidRPr="00165533" w:rsidRDefault="00472EC9" w:rsidP="0075694B">
      <w:pPr>
        <w:rPr>
          <w:rFonts w:ascii="Arial" w:hAnsi="Arial" w:cs="Arial"/>
          <w:b/>
          <w:color w:val="244061"/>
          <w:sz w:val="16"/>
          <w:szCs w:val="16"/>
        </w:rPr>
      </w:pPr>
    </w:p>
    <w:tbl>
      <w:tblPr>
        <w:tblStyle w:val="TableGrid"/>
        <w:tblW w:w="0" w:type="auto"/>
        <w:tblInd w:w="-5" w:type="dxa"/>
        <w:tblLook w:val="04A0" w:firstRow="1" w:lastRow="0" w:firstColumn="1" w:lastColumn="0" w:noHBand="0" w:noVBand="1"/>
      </w:tblPr>
      <w:tblGrid>
        <w:gridCol w:w="13953"/>
      </w:tblGrid>
      <w:tr w:rsidR="0075694B" w:rsidRPr="00165533" w14:paraId="1701DF57" w14:textId="77777777" w:rsidTr="00BA0A18">
        <w:tc>
          <w:tcPr>
            <w:tcW w:w="13953" w:type="dxa"/>
          </w:tcPr>
          <w:p w14:paraId="64926CB9" w14:textId="77777777" w:rsidR="00A87D96" w:rsidRDefault="00A87D96" w:rsidP="003B65CB">
            <w:pPr>
              <w:rPr>
                <w:rFonts w:ascii="Arial" w:hAnsi="Arial" w:cs="Arial"/>
                <w:bCs/>
              </w:rPr>
            </w:pPr>
          </w:p>
          <w:p w14:paraId="1588FF7E" w14:textId="7FC9320F" w:rsidR="00D820D5" w:rsidRPr="00165533" w:rsidRDefault="00BC61A4" w:rsidP="003B65CB">
            <w:pPr>
              <w:rPr>
                <w:rFonts w:ascii="Arial" w:hAnsi="Arial" w:cs="Arial"/>
                <w:bCs/>
              </w:rPr>
            </w:pPr>
            <w:r w:rsidRPr="00165533">
              <w:rPr>
                <w:rFonts w:ascii="Arial" w:hAnsi="Arial" w:cs="Arial"/>
                <w:bCs/>
              </w:rPr>
              <w:t xml:space="preserve">Thank you for your comprehensive </w:t>
            </w:r>
            <w:r w:rsidR="000D66CE" w:rsidRPr="00165533">
              <w:rPr>
                <w:rFonts w:ascii="Arial" w:hAnsi="Arial" w:cs="Arial"/>
                <w:bCs/>
              </w:rPr>
              <w:t>review and</w:t>
            </w:r>
            <w:r w:rsidRPr="00165533">
              <w:rPr>
                <w:rFonts w:ascii="Arial" w:hAnsi="Arial" w:cs="Arial"/>
                <w:bCs/>
              </w:rPr>
              <w:t xml:space="preserve"> highlighting areas where we can improve</w:t>
            </w:r>
            <w:r w:rsidR="003106FA" w:rsidRPr="00165533">
              <w:rPr>
                <w:rFonts w:ascii="Arial" w:hAnsi="Arial" w:cs="Arial"/>
                <w:bCs/>
              </w:rPr>
              <w:t xml:space="preserve">.  </w:t>
            </w:r>
          </w:p>
          <w:p w14:paraId="600FB34F" w14:textId="77777777" w:rsidR="00D820D5" w:rsidRPr="00165533" w:rsidRDefault="00D820D5" w:rsidP="003B65CB">
            <w:pPr>
              <w:rPr>
                <w:rFonts w:ascii="Arial" w:hAnsi="Arial" w:cs="Arial"/>
                <w:bCs/>
              </w:rPr>
            </w:pPr>
          </w:p>
          <w:p w14:paraId="2CD73A64" w14:textId="5A64975D" w:rsidR="0075694B" w:rsidRPr="00165533" w:rsidRDefault="003106FA" w:rsidP="003B65CB">
            <w:pPr>
              <w:rPr>
                <w:rFonts w:ascii="Arial" w:hAnsi="Arial" w:cs="Arial"/>
              </w:rPr>
            </w:pPr>
            <w:r w:rsidRPr="00165533">
              <w:rPr>
                <w:rFonts w:ascii="Arial" w:hAnsi="Arial" w:cs="Arial"/>
                <w:bCs/>
              </w:rPr>
              <w:t>We have made minor modifications to the report</w:t>
            </w:r>
          </w:p>
          <w:p w14:paraId="2BA93FD0" w14:textId="57E7DB94" w:rsidR="003B65CB" w:rsidRPr="00165533" w:rsidRDefault="003B65CB" w:rsidP="003B65CB">
            <w:pPr>
              <w:rPr>
                <w:rFonts w:ascii="Arial" w:hAnsi="Arial" w:cs="Arial"/>
                <w:b/>
                <w:color w:val="365F91"/>
              </w:rPr>
            </w:pPr>
          </w:p>
        </w:tc>
      </w:tr>
    </w:tbl>
    <w:p w14:paraId="059D96FB" w14:textId="77777777" w:rsidR="00DA6B7C" w:rsidRPr="00165533" w:rsidRDefault="00DA6B7C" w:rsidP="004213EA">
      <w:pPr>
        <w:rPr>
          <w:rFonts w:ascii="Arial" w:hAnsi="Arial" w:cs="Arial"/>
          <w:b/>
          <w:color w:val="1F3864" w:themeColor="accent1" w:themeShade="80"/>
          <w:sz w:val="28"/>
        </w:rPr>
      </w:pPr>
    </w:p>
    <w:p w14:paraId="00D0ECA2" w14:textId="76B1EE38" w:rsidR="00472EC9" w:rsidRPr="00165533" w:rsidRDefault="0075694B" w:rsidP="0075694B">
      <w:pPr>
        <w:rPr>
          <w:rFonts w:ascii="Arial" w:hAnsi="Arial" w:cs="Arial"/>
          <w:b/>
          <w:color w:val="244061"/>
          <w:sz w:val="28"/>
          <w:szCs w:val="28"/>
        </w:rPr>
      </w:pPr>
      <w:r w:rsidRPr="00165533">
        <w:rPr>
          <w:rFonts w:ascii="Arial" w:hAnsi="Arial" w:cs="Arial"/>
          <w:b/>
          <w:color w:val="244061"/>
          <w:sz w:val="28"/>
          <w:szCs w:val="28"/>
        </w:rPr>
        <w:t>Recommendations to the GDC</w:t>
      </w:r>
    </w:p>
    <w:p w14:paraId="176C7E66" w14:textId="3839BABD" w:rsidR="002546AF" w:rsidRPr="00165533" w:rsidRDefault="002546AF" w:rsidP="000E3F78">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6091"/>
        <w:gridCol w:w="7857"/>
      </w:tblGrid>
      <w:tr w:rsidR="002546AF" w:rsidRPr="00165533" w14:paraId="4289ED4B" w14:textId="77777777" w:rsidTr="00682FCA">
        <w:tc>
          <w:tcPr>
            <w:tcW w:w="6091" w:type="dxa"/>
            <w:shd w:val="clear" w:color="auto" w:fill="2F5496" w:themeFill="accent1" w:themeFillShade="BF"/>
          </w:tcPr>
          <w:p w14:paraId="16302C56" w14:textId="77777777" w:rsidR="007D6F90" w:rsidRPr="00165533" w:rsidRDefault="007D6F90" w:rsidP="000E3F78">
            <w:pPr>
              <w:autoSpaceDE w:val="0"/>
              <w:autoSpaceDN w:val="0"/>
              <w:adjustRightInd w:val="0"/>
              <w:rPr>
                <w:rFonts w:ascii="Arial" w:hAnsi="Arial" w:cs="Arial"/>
                <w:b/>
                <w:color w:val="FFFFFF" w:themeColor="background1"/>
                <w:sz w:val="24"/>
                <w:szCs w:val="24"/>
              </w:rPr>
            </w:pPr>
          </w:p>
          <w:p w14:paraId="33FADD9D" w14:textId="015F9EC1" w:rsidR="002546AF" w:rsidRPr="00165533" w:rsidRDefault="00E354C6" w:rsidP="000E3F78">
            <w:pPr>
              <w:autoSpaceDE w:val="0"/>
              <w:autoSpaceDN w:val="0"/>
              <w:adjustRightInd w:val="0"/>
              <w:rPr>
                <w:rFonts w:ascii="Arial" w:hAnsi="Arial" w:cs="Arial"/>
                <w:b/>
                <w:color w:val="FFFFFF" w:themeColor="background1"/>
                <w:sz w:val="24"/>
                <w:szCs w:val="24"/>
              </w:rPr>
            </w:pPr>
            <w:r w:rsidRPr="00165533">
              <w:rPr>
                <w:rFonts w:ascii="Arial" w:hAnsi="Arial" w:cs="Arial"/>
                <w:b/>
                <w:color w:val="FFFFFF" w:themeColor="background1"/>
                <w:sz w:val="24"/>
                <w:szCs w:val="24"/>
              </w:rPr>
              <w:t xml:space="preserve">Education </w:t>
            </w:r>
            <w:r w:rsidR="00472EC9" w:rsidRPr="00165533">
              <w:rPr>
                <w:rFonts w:ascii="Arial" w:hAnsi="Arial" w:cs="Arial"/>
                <w:b/>
                <w:color w:val="FFFFFF" w:themeColor="background1"/>
                <w:sz w:val="24"/>
                <w:szCs w:val="24"/>
              </w:rPr>
              <w:t>A</w:t>
            </w:r>
            <w:r w:rsidRPr="00165533">
              <w:rPr>
                <w:rFonts w:ascii="Arial" w:hAnsi="Arial" w:cs="Arial"/>
                <w:b/>
                <w:color w:val="FFFFFF" w:themeColor="background1"/>
                <w:sz w:val="24"/>
                <w:szCs w:val="24"/>
              </w:rPr>
              <w:t>ssociates’</w:t>
            </w:r>
            <w:r w:rsidR="002546AF" w:rsidRPr="00165533">
              <w:rPr>
                <w:rFonts w:ascii="Arial" w:hAnsi="Arial" w:cs="Arial"/>
                <w:b/>
                <w:color w:val="FFFFFF" w:themeColor="background1"/>
                <w:sz w:val="24"/>
                <w:szCs w:val="24"/>
              </w:rPr>
              <w:t xml:space="preserve"> recommendation</w:t>
            </w:r>
          </w:p>
        </w:tc>
        <w:tc>
          <w:tcPr>
            <w:tcW w:w="7857" w:type="dxa"/>
          </w:tcPr>
          <w:p w14:paraId="4DF63C88" w14:textId="77777777" w:rsidR="001C1CB7" w:rsidRPr="00165533" w:rsidRDefault="001C1CB7" w:rsidP="000E3F78">
            <w:pPr>
              <w:autoSpaceDE w:val="0"/>
              <w:autoSpaceDN w:val="0"/>
              <w:adjustRightInd w:val="0"/>
              <w:rPr>
                <w:rFonts w:ascii="Arial" w:hAnsi="Arial" w:cs="Arial"/>
                <w:color w:val="000000"/>
              </w:rPr>
            </w:pPr>
          </w:p>
          <w:p w14:paraId="2F7A8A8F" w14:textId="4748C68F" w:rsidR="002546AF" w:rsidRPr="00165533" w:rsidRDefault="003835BD" w:rsidP="000E3F78">
            <w:pPr>
              <w:autoSpaceDE w:val="0"/>
              <w:autoSpaceDN w:val="0"/>
              <w:adjustRightInd w:val="0"/>
              <w:rPr>
                <w:rFonts w:ascii="Arial" w:hAnsi="Arial" w:cs="Arial"/>
                <w:color w:val="000000"/>
              </w:rPr>
            </w:pPr>
            <w:r w:rsidRPr="00165533">
              <w:rPr>
                <w:rFonts w:ascii="Arial" w:hAnsi="Arial" w:cs="Arial"/>
                <w:color w:val="000000"/>
              </w:rPr>
              <w:t xml:space="preserve">The </w:t>
            </w:r>
            <w:r w:rsidR="001C1CB7" w:rsidRPr="00165533">
              <w:rPr>
                <w:rFonts w:ascii="Arial" w:hAnsi="Arial" w:cs="Arial"/>
                <w:color w:val="000000"/>
              </w:rPr>
              <w:t xml:space="preserve">Bachelor of Dental Surgery (BDS) </w:t>
            </w:r>
            <w:r w:rsidR="002546AF" w:rsidRPr="00165533">
              <w:rPr>
                <w:rFonts w:ascii="Arial" w:hAnsi="Arial" w:cs="Arial"/>
                <w:color w:val="000000"/>
              </w:rPr>
              <w:t>continues to be approved</w:t>
            </w:r>
            <w:r w:rsidRPr="00165533">
              <w:rPr>
                <w:rFonts w:ascii="Arial" w:hAnsi="Arial" w:cs="Arial"/>
                <w:color w:val="000000"/>
              </w:rPr>
              <w:t xml:space="preserve"> </w:t>
            </w:r>
            <w:r w:rsidR="002546AF" w:rsidRPr="00165533">
              <w:rPr>
                <w:rFonts w:ascii="Arial" w:hAnsi="Arial" w:cs="Arial"/>
                <w:color w:val="000000"/>
              </w:rPr>
              <w:t>for holders to apply for registration as a</w:t>
            </w:r>
            <w:r w:rsidR="00526251" w:rsidRPr="00165533">
              <w:rPr>
                <w:rFonts w:ascii="Arial" w:hAnsi="Arial" w:cs="Arial"/>
                <w:color w:val="000000"/>
              </w:rPr>
              <w:t xml:space="preserve"> Dentist</w:t>
            </w:r>
            <w:r w:rsidR="00947F28" w:rsidRPr="00165533">
              <w:rPr>
                <w:rFonts w:ascii="Arial" w:hAnsi="Arial" w:cs="Arial"/>
                <w:color w:val="000000"/>
              </w:rPr>
              <w:t xml:space="preserve"> </w:t>
            </w:r>
            <w:r w:rsidR="002546AF" w:rsidRPr="00165533">
              <w:rPr>
                <w:rFonts w:ascii="Arial" w:hAnsi="Arial" w:cs="Arial"/>
                <w:color w:val="000000"/>
              </w:rPr>
              <w:t>with the General Dental Council</w:t>
            </w:r>
            <w:r w:rsidR="00200492" w:rsidRPr="00165533">
              <w:rPr>
                <w:rFonts w:ascii="Arial" w:hAnsi="Arial" w:cs="Arial"/>
                <w:color w:val="000000"/>
              </w:rPr>
              <w:t xml:space="preserve">. </w:t>
            </w:r>
          </w:p>
          <w:p w14:paraId="3A14944C" w14:textId="55FBAC6D" w:rsidR="001C1CB7" w:rsidRPr="00165533" w:rsidRDefault="001C1CB7" w:rsidP="000E3F78">
            <w:pPr>
              <w:autoSpaceDE w:val="0"/>
              <w:autoSpaceDN w:val="0"/>
              <w:adjustRightInd w:val="0"/>
              <w:rPr>
                <w:rFonts w:ascii="Arial" w:hAnsi="Arial" w:cs="Arial"/>
                <w:color w:val="000000"/>
              </w:rPr>
            </w:pPr>
          </w:p>
        </w:tc>
      </w:tr>
      <w:tr w:rsidR="002546AF" w:rsidRPr="00165533" w14:paraId="5D292165" w14:textId="77777777" w:rsidTr="00682FCA">
        <w:trPr>
          <w:trHeight w:val="301"/>
        </w:trPr>
        <w:tc>
          <w:tcPr>
            <w:tcW w:w="6091" w:type="dxa"/>
            <w:shd w:val="clear" w:color="auto" w:fill="2F5496" w:themeFill="accent1" w:themeFillShade="BF"/>
          </w:tcPr>
          <w:p w14:paraId="0E79C4AF" w14:textId="77777777" w:rsidR="007D6F90" w:rsidRPr="00165533" w:rsidRDefault="007D6F90" w:rsidP="000E3F78">
            <w:pPr>
              <w:autoSpaceDE w:val="0"/>
              <w:autoSpaceDN w:val="0"/>
              <w:adjustRightInd w:val="0"/>
              <w:rPr>
                <w:rFonts w:ascii="Arial" w:hAnsi="Arial" w:cs="Arial"/>
                <w:b/>
                <w:color w:val="FFFFFF" w:themeColor="background1"/>
                <w:sz w:val="24"/>
                <w:szCs w:val="24"/>
              </w:rPr>
            </w:pPr>
          </w:p>
          <w:p w14:paraId="4227F96F" w14:textId="77777777" w:rsidR="002546AF" w:rsidRPr="00165533" w:rsidRDefault="002546AF" w:rsidP="000E3F78">
            <w:pPr>
              <w:autoSpaceDE w:val="0"/>
              <w:autoSpaceDN w:val="0"/>
              <w:adjustRightInd w:val="0"/>
              <w:rPr>
                <w:rFonts w:ascii="Arial" w:hAnsi="Arial" w:cs="Arial"/>
                <w:b/>
                <w:color w:val="FFFFFF" w:themeColor="background1"/>
                <w:sz w:val="24"/>
                <w:szCs w:val="24"/>
              </w:rPr>
            </w:pPr>
            <w:r w:rsidRPr="00165533">
              <w:rPr>
                <w:rFonts w:ascii="Arial" w:hAnsi="Arial" w:cs="Arial"/>
                <w:b/>
                <w:color w:val="FFFFFF" w:themeColor="background1"/>
                <w:sz w:val="24"/>
                <w:szCs w:val="24"/>
              </w:rPr>
              <w:t>Date of next regular monitoring exercise</w:t>
            </w:r>
            <w:r w:rsidR="00E354C6" w:rsidRPr="00165533">
              <w:rPr>
                <w:rFonts w:ascii="Arial" w:hAnsi="Arial" w:cs="Arial"/>
                <w:b/>
                <w:color w:val="FFFFFF" w:themeColor="background1"/>
                <w:sz w:val="24"/>
                <w:szCs w:val="24"/>
              </w:rPr>
              <w:t xml:space="preserve"> </w:t>
            </w:r>
          </w:p>
          <w:p w14:paraId="522D1C7D" w14:textId="046AC0F9" w:rsidR="007D6F90" w:rsidRPr="00165533" w:rsidRDefault="007D6F90" w:rsidP="000E3F78">
            <w:pPr>
              <w:autoSpaceDE w:val="0"/>
              <w:autoSpaceDN w:val="0"/>
              <w:adjustRightInd w:val="0"/>
              <w:rPr>
                <w:rFonts w:ascii="Arial" w:hAnsi="Arial" w:cs="Arial"/>
                <w:b/>
                <w:color w:val="FFFFFF" w:themeColor="background1"/>
                <w:sz w:val="24"/>
                <w:szCs w:val="24"/>
              </w:rPr>
            </w:pPr>
          </w:p>
        </w:tc>
        <w:tc>
          <w:tcPr>
            <w:tcW w:w="7857" w:type="dxa"/>
          </w:tcPr>
          <w:p w14:paraId="2A5224A3" w14:textId="77777777" w:rsidR="001C1CB7" w:rsidRPr="00165533" w:rsidRDefault="001C1CB7" w:rsidP="000E3F78">
            <w:pPr>
              <w:autoSpaceDE w:val="0"/>
              <w:autoSpaceDN w:val="0"/>
              <w:adjustRightInd w:val="0"/>
              <w:rPr>
                <w:rFonts w:ascii="Arial" w:hAnsi="Arial" w:cs="Arial"/>
                <w:color w:val="000000"/>
              </w:rPr>
            </w:pPr>
          </w:p>
          <w:p w14:paraId="27AAC3E0" w14:textId="4EF0ADFA" w:rsidR="002546AF" w:rsidRPr="00165533" w:rsidRDefault="007D6F90" w:rsidP="000E3F78">
            <w:pPr>
              <w:autoSpaceDE w:val="0"/>
              <w:autoSpaceDN w:val="0"/>
              <w:adjustRightInd w:val="0"/>
              <w:rPr>
                <w:rFonts w:ascii="Arial" w:hAnsi="Arial" w:cs="Arial"/>
                <w:color w:val="000000"/>
              </w:rPr>
            </w:pPr>
            <w:r w:rsidRPr="00165533">
              <w:rPr>
                <w:rFonts w:ascii="Arial" w:hAnsi="Arial" w:cs="Arial"/>
                <w:color w:val="000000"/>
              </w:rPr>
              <w:t>2026</w:t>
            </w:r>
            <w:r w:rsidR="00620E5F" w:rsidRPr="00165533">
              <w:rPr>
                <w:rFonts w:ascii="Arial" w:hAnsi="Arial" w:cs="Arial"/>
                <w:color w:val="000000"/>
              </w:rPr>
              <w:t>/2027</w:t>
            </w:r>
          </w:p>
        </w:tc>
      </w:tr>
    </w:tbl>
    <w:p w14:paraId="3D27EBF2" w14:textId="77777777" w:rsidR="00CB6EEE" w:rsidRPr="00165533" w:rsidRDefault="006B5F1C">
      <w:pPr>
        <w:rPr>
          <w:rFonts w:ascii="Arial" w:hAnsi="Arial" w:cs="Arial"/>
          <w:color w:val="000000"/>
        </w:rPr>
        <w:sectPr w:rsidR="00CB6EEE" w:rsidRPr="00165533" w:rsidSect="000D5F33">
          <w:pgSz w:w="16838" w:h="11906" w:orient="landscape"/>
          <w:pgMar w:top="1440" w:right="1440" w:bottom="1440" w:left="1440" w:header="709" w:footer="709" w:gutter="0"/>
          <w:cols w:space="708"/>
          <w:docGrid w:linePitch="360"/>
        </w:sectPr>
      </w:pPr>
      <w:r w:rsidRPr="00165533">
        <w:rPr>
          <w:rFonts w:ascii="Arial" w:hAnsi="Arial" w:cs="Arial"/>
          <w:color w:val="000000"/>
        </w:rPr>
        <w:br w:type="page"/>
      </w:r>
    </w:p>
    <w:p w14:paraId="0258236F" w14:textId="53B2421B" w:rsidR="006B5F1C" w:rsidRPr="00165533" w:rsidRDefault="00CB6EEE" w:rsidP="006B5F1C">
      <w:pPr>
        <w:pStyle w:val="Default"/>
        <w:rPr>
          <w:b/>
          <w:bCs/>
          <w:sz w:val="28"/>
          <w:szCs w:val="28"/>
        </w:rPr>
      </w:pPr>
      <w:r w:rsidRPr="00165533">
        <w:rPr>
          <w:b/>
          <w:bCs/>
          <w:sz w:val="28"/>
          <w:szCs w:val="28"/>
        </w:rPr>
        <w:lastRenderedPageBreak/>
        <w:t>Ann</w:t>
      </w:r>
      <w:r w:rsidR="006B5F1C" w:rsidRPr="00165533">
        <w:rPr>
          <w:b/>
          <w:bCs/>
          <w:sz w:val="28"/>
          <w:szCs w:val="28"/>
        </w:rPr>
        <w:t xml:space="preserve">ex 1 </w:t>
      </w:r>
    </w:p>
    <w:p w14:paraId="6224E51B" w14:textId="77777777" w:rsidR="00F0414F" w:rsidRPr="00165533" w:rsidRDefault="00F0414F" w:rsidP="006B5F1C">
      <w:pPr>
        <w:pStyle w:val="Default"/>
        <w:rPr>
          <w:sz w:val="28"/>
          <w:szCs w:val="28"/>
        </w:rPr>
      </w:pPr>
    </w:p>
    <w:p w14:paraId="0A53F952" w14:textId="2A98E4F1" w:rsidR="006B5F1C" w:rsidRPr="00165533" w:rsidRDefault="006B5F1C" w:rsidP="006B5F1C">
      <w:pPr>
        <w:pStyle w:val="Default"/>
        <w:rPr>
          <w:b/>
          <w:bCs/>
          <w:sz w:val="22"/>
          <w:szCs w:val="22"/>
        </w:rPr>
      </w:pPr>
      <w:r w:rsidRPr="00165533">
        <w:rPr>
          <w:b/>
          <w:bCs/>
          <w:sz w:val="22"/>
          <w:szCs w:val="22"/>
        </w:rPr>
        <w:t xml:space="preserve">Inspection purpose and process </w:t>
      </w:r>
    </w:p>
    <w:p w14:paraId="164916AA" w14:textId="77777777" w:rsidR="00072B60" w:rsidRPr="00165533" w:rsidRDefault="00072B60" w:rsidP="00072B60">
      <w:pPr>
        <w:autoSpaceDE w:val="0"/>
        <w:autoSpaceDN w:val="0"/>
        <w:adjustRightInd w:val="0"/>
        <w:spacing w:after="0" w:line="240" w:lineRule="auto"/>
        <w:rPr>
          <w:rFonts w:ascii="Arial" w:hAnsi="Arial" w:cs="Arial"/>
          <w:color w:val="000000"/>
        </w:rPr>
      </w:pPr>
    </w:p>
    <w:p w14:paraId="0CF74743" w14:textId="77777777" w:rsidR="00072B60" w:rsidRPr="00165533" w:rsidRDefault="00072B60" w:rsidP="00072B60">
      <w:pPr>
        <w:autoSpaceDE w:val="0"/>
        <w:autoSpaceDN w:val="0"/>
        <w:adjustRightInd w:val="0"/>
        <w:spacing w:after="0" w:line="240" w:lineRule="auto"/>
        <w:rPr>
          <w:rFonts w:ascii="Arial" w:hAnsi="Arial" w:cs="Arial"/>
          <w:color w:val="000000"/>
        </w:rPr>
      </w:pPr>
      <w:r w:rsidRPr="00165533">
        <w:rPr>
          <w:rFonts w:ascii="Arial" w:hAnsi="Arial" w:cs="Arial"/>
          <w:color w:val="000000"/>
        </w:rPr>
        <w:t xml:space="preserve">1. As part of its duty to protect patients and promote high standards within the professions it regulates, the General Dental Council (GDC) quality assures the education and training of student dentists and dental care professionals (DCPs) at institutions whose qualifications enable the holder to apply for registration with the GDC. It also quality assures new qualifications where it is intended that the qualification will lead to registration. The aim of this quality assurance activity is to ensure that institutions produce a new registrant who has demonstrated, on graduation, that they have met the learning outcomes required for registration with the GDC. This ensures that students who obtain a qualification leading to registration are fit to practise at the level of a safe beginner. </w:t>
      </w:r>
    </w:p>
    <w:p w14:paraId="05757E1B" w14:textId="77777777" w:rsidR="00072B60" w:rsidRPr="00165533" w:rsidRDefault="00072B60" w:rsidP="00072B60">
      <w:pPr>
        <w:autoSpaceDE w:val="0"/>
        <w:autoSpaceDN w:val="0"/>
        <w:adjustRightInd w:val="0"/>
        <w:spacing w:after="0" w:line="240" w:lineRule="auto"/>
        <w:rPr>
          <w:rFonts w:ascii="Arial" w:hAnsi="Arial" w:cs="Arial"/>
          <w:color w:val="000000"/>
        </w:rPr>
      </w:pPr>
    </w:p>
    <w:p w14:paraId="07737E18" w14:textId="5D75BA17" w:rsidR="00072B60" w:rsidRPr="00165533" w:rsidRDefault="00072B60" w:rsidP="00072B60">
      <w:pPr>
        <w:autoSpaceDE w:val="0"/>
        <w:autoSpaceDN w:val="0"/>
        <w:adjustRightInd w:val="0"/>
        <w:spacing w:after="0" w:line="240" w:lineRule="auto"/>
        <w:rPr>
          <w:rFonts w:ascii="Arial" w:hAnsi="Arial" w:cs="Arial"/>
          <w:color w:val="000000"/>
        </w:rPr>
      </w:pPr>
      <w:r w:rsidRPr="00165533">
        <w:rPr>
          <w:rFonts w:ascii="Arial" w:hAnsi="Arial" w:cs="Arial"/>
          <w:color w:val="000000"/>
        </w:rPr>
        <w:t xml:space="preserve">2. Inspections are a key element of the GDC’s quality assurance activity. They enable a recommendation to be made to the Council of the GDC regarding the ‘sufficiency’ of the programme for registration as a dentist and ‘approval’ of the programme for registration as a dental care professional. The GDC’s powers are derived under Part II, Section 9 of the Dentists Act 1984 (as amended). </w:t>
      </w:r>
    </w:p>
    <w:p w14:paraId="0870EE3C" w14:textId="77777777" w:rsidR="006630F1" w:rsidRPr="00165533" w:rsidRDefault="006630F1" w:rsidP="00072B60">
      <w:pPr>
        <w:autoSpaceDE w:val="0"/>
        <w:autoSpaceDN w:val="0"/>
        <w:adjustRightInd w:val="0"/>
        <w:spacing w:after="0" w:line="240" w:lineRule="auto"/>
        <w:rPr>
          <w:rFonts w:ascii="Arial" w:hAnsi="Arial" w:cs="Arial"/>
          <w:color w:val="000000"/>
        </w:rPr>
      </w:pPr>
    </w:p>
    <w:p w14:paraId="74B91F9B" w14:textId="77777777" w:rsidR="00072B60" w:rsidRPr="00165533" w:rsidRDefault="00072B60" w:rsidP="00072B60">
      <w:pPr>
        <w:autoSpaceDE w:val="0"/>
        <w:autoSpaceDN w:val="0"/>
        <w:adjustRightInd w:val="0"/>
        <w:spacing w:after="0" w:line="240" w:lineRule="auto"/>
        <w:rPr>
          <w:rFonts w:ascii="Arial" w:hAnsi="Arial" w:cs="Arial"/>
          <w:color w:val="000000"/>
        </w:rPr>
      </w:pPr>
      <w:r w:rsidRPr="00165533">
        <w:rPr>
          <w:rFonts w:ascii="Arial" w:hAnsi="Arial" w:cs="Arial"/>
          <w:color w:val="000000"/>
        </w:rPr>
        <w:t xml:space="preserve">3. The GDC document ‘Standards for Education’ 2nd edition1 is the framework used to evaluate qualifications. There are 21 Requirements in three distinct Standards, against which each qualification is assessed. </w:t>
      </w:r>
    </w:p>
    <w:p w14:paraId="7CFE62AF" w14:textId="77777777" w:rsidR="00072B60" w:rsidRPr="00165533" w:rsidRDefault="00072B60" w:rsidP="00072B60">
      <w:pPr>
        <w:autoSpaceDE w:val="0"/>
        <w:autoSpaceDN w:val="0"/>
        <w:adjustRightInd w:val="0"/>
        <w:spacing w:after="0" w:line="240" w:lineRule="auto"/>
        <w:rPr>
          <w:rFonts w:ascii="Arial" w:hAnsi="Arial" w:cs="Arial"/>
          <w:color w:val="000000"/>
        </w:rPr>
      </w:pPr>
    </w:p>
    <w:p w14:paraId="461CCAA3" w14:textId="77777777" w:rsidR="00072B60" w:rsidRPr="00165533" w:rsidRDefault="00072B60" w:rsidP="00072B60">
      <w:pPr>
        <w:autoSpaceDE w:val="0"/>
        <w:autoSpaceDN w:val="0"/>
        <w:adjustRightInd w:val="0"/>
        <w:spacing w:after="0" w:line="240" w:lineRule="auto"/>
        <w:rPr>
          <w:rFonts w:ascii="Arial" w:hAnsi="Arial" w:cs="Arial"/>
          <w:color w:val="000000"/>
        </w:rPr>
      </w:pPr>
      <w:r w:rsidRPr="00165533">
        <w:rPr>
          <w:rFonts w:ascii="Arial" w:hAnsi="Arial" w:cs="Arial"/>
          <w:color w:val="000000"/>
        </w:rPr>
        <w:t xml:space="preserve">4. The education provider is requested to undertake a self-evaluation of the programme against the individual Requirements under the Standards for Education. This involves stating whether each Requirement is ‘met’, ‘partly met’ or ‘not met’ and to provide evidence in support of their evaluation. The inspection panel examines this evidence, may request further documentary evidence and gathers further evidence from discussions with staff and students. The panel will reach a decision on each Requirement, using the following descriptors: </w:t>
      </w:r>
    </w:p>
    <w:p w14:paraId="59969AD1" w14:textId="77777777" w:rsidR="00072B60" w:rsidRPr="00165533" w:rsidRDefault="00072B60" w:rsidP="00072B60">
      <w:pPr>
        <w:autoSpaceDE w:val="0"/>
        <w:autoSpaceDN w:val="0"/>
        <w:adjustRightInd w:val="0"/>
        <w:spacing w:after="0" w:line="240" w:lineRule="auto"/>
        <w:rPr>
          <w:rFonts w:ascii="Arial" w:hAnsi="Arial" w:cs="Arial"/>
          <w:color w:val="000000"/>
        </w:rPr>
      </w:pPr>
    </w:p>
    <w:p w14:paraId="01BE2855" w14:textId="77777777" w:rsidR="00072B60" w:rsidRPr="00165533" w:rsidRDefault="00072B60" w:rsidP="00072B60">
      <w:pPr>
        <w:autoSpaceDE w:val="0"/>
        <w:autoSpaceDN w:val="0"/>
        <w:adjustRightInd w:val="0"/>
        <w:spacing w:after="0" w:line="240" w:lineRule="auto"/>
        <w:rPr>
          <w:rFonts w:ascii="Arial" w:hAnsi="Arial" w:cs="Arial"/>
          <w:color w:val="000000"/>
        </w:rPr>
      </w:pPr>
      <w:r w:rsidRPr="00165533">
        <w:rPr>
          <w:rFonts w:ascii="Arial" w:hAnsi="Arial" w:cs="Arial"/>
          <w:color w:val="000000"/>
        </w:rPr>
        <w:t xml:space="preserve">A Requirement is met if: </w:t>
      </w:r>
    </w:p>
    <w:p w14:paraId="771E07A3" w14:textId="77777777" w:rsidR="00072B60" w:rsidRPr="00165533" w:rsidRDefault="00072B60" w:rsidP="00072B60">
      <w:pPr>
        <w:autoSpaceDE w:val="0"/>
        <w:autoSpaceDN w:val="0"/>
        <w:adjustRightInd w:val="0"/>
        <w:spacing w:after="0" w:line="240" w:lineRule="auto"/>
        <w:rPr>
          <w:rFonts w:ascii="Arial" w:hAnsi="Arial" w:cs="Arial"/>
          <w:color w:val="000000"/>
        </w:rPr>
      </w:pPr>
    </w:p>
    <w:p w14:paraId="5617F259" w14:textId="31ED3C2E" w:rsidR="00072B60" w:rsidRPr="00165533" w:rsidRDefault="00072B60" w:rsidP="00072B60">
      <w:pPr>
        <w:autoSpaceDE w:val="0"/>
        <w:autoSpaceDN w:val="0"/>
        <w:adjustRightInd w:val="0"/>
        <w:spacing w:after="0" w:line="240" w:lineRule="auto"/>
        <w:rPr>
          <w:rFonts w:ascii="Arial" w:hAnsi="Arial" w:cs="Arial"/>
          <w:color w:val="000000"/>
        </w:rPr>
      </w:pPr>
      <w:r w:rsidRPr="00165533">
        <w:rPr>
          <w:rFonts w:ascii="Arial" w:hAnsi="Arial" w:cs="Arial"/>
          <w:color w:val="000000"/>
        </w:rPr>
        <w:t xml:space="preserve">“There is sufficient appropriate evidence derived from the inspection process. This evidence provides the </w:t>
      </w:r>
      <w:r w:rsidR="000A44A5" w:rsidRPr="00165533">
        <w:rPr>
          <w:rFonts w:ascii="Arial" w:hAnsi="Arial" w:cs="Arial"/>
          <w:color w:val="000000"/>
        </w:rPr>
        <w:t xml:space="preserve">education associates </w:t>
      </w:r>
      <w:r w:rsidRPr="00165533">
        <w:rPr>
          <w:rFonts w:ascii="Arial" w:hAnsi="Arial" w:cs="Arial"/>
          <w:color w:val="000000"/>
        </w:rPr>
        <w:t xml:space="preserve">with broad confidence that the provider demonstrates the Requirement. Information gathered through meetings with staff and students is supportive of documentary evidence and the evidence is robust, consistent and not contradictory. There may be minor deficiencies in the evidence supplied but these are likely to be inconsequential.” </w:t>
      </w:r>
    </w:p>
    <w:p w14:paraId="6FB93418" w14:textId="77777777" w:rsidR="00072B60" w:rsidRPr="00165533" w:rsidRDefault="00072B60" w:rsidP="00072B60">
      <w:pPr>
        <w:autoSpaceDE w:val="0"/>
        <w:autoSpaceDN w:val="0"/>
        <w:adjustRightInd w:val="0"/>
        <w:spacing w:after="0" w:line="240" w:lineRule="auto"/>
        <w:rPr>
          <w:rFonts w:ascii="Arial" w:hAnsi="Arial" w:cs="Arial"/>
          <w:color w:val="000000"/>
        </w:rPr>
      </w:pPr>
    </w:p>
    <w:p w14:paraId="2F106EE9" w14:textId="77777777" w:rsidR="00072B60" w:rsidRPr="00165533" w:rsidRDefault="00072B60" w:rsidP="00072B60">
      <w:pPr>
        <w:autoSpaceDE w:val="0"/>
        <w:autoSpaceDN w:val="0"/>
        <w:adjustRightInd w:val="0"/>
        <w:spacing w:after="0" w:line="240" w:lineRule="auto"/>
        <w:rPr>
          <w:rFonts w:ascii="Arial" w:hAnsi="Arial" w:cs="Arial"/>
          <w:color w:val="000000"/>
        </w:rPr>
      </w:pPr>
      <w:r w:rsidRPr="00165533">
        <w:rPr>
          <w:rFonts w:ascii="Arial" w:hAnsi="Arial" w:cs="Arial"/>
          <w:color w:val="000000"/>
        </w:rPr>
        <w:t xml:space="preserve">A Requirement is partly met if: </w:t>
      </w:r>
    </w:p>
    <w:p w14:paraId="247BB398" w14:textId="77777777" w:rsidR="00072B60" w:rsidRPr="00165533" w:rsidRDefault="00072B60" w:rsidP="00072B60">
      <w:pPr>
        <w:autoSpaceDE w:val="0"/>
        <w:autoSpaceDN w:val="0"/>
        <w:adjustRightInd w:val="0"/>
        <w:spacing w:after="0" w:line="240" w:lineRule="auto"/>
        <w:rPr>
          <w:rFonts w:ascii="Arial" w:hAnsi="Arial" w:cs="Arial"/>
          <w:color w:val="000000"/>
        </w:rPr>
      </w:pPr>
    </w:p>
    <w:p w14:paraId="38A5849E" w14:textId="1C86E1B9" w:rsidR="00072B60" w:rsidRPr="00165533" w:rsidRDefault="00072B60" w:rsidP="00072B60">
      <w:pPr>
        <w:autoSpaceDE w:val="0"/>
        <w:autoSpaceDN w:val="0"/>
        <w:adjustRightInd w:val="0"/>
        <w:spacing w:after="0" w:line="240" w:lineRule="auto"/>
        <w:rPr>
          <w:rFonts w:ascii="Arial" w:hAnsi="Arial" w:cs="Arial"/>
          <w:color w:val="000000"/>
        </w:rPr>
      </w:pPr>
      <w:r w:rsidRPr="00165533">
        <w:rPr>
          <w:rFonts w:ascii="Arial" w:hAnsi="Arial" w:cs="Arial"/>
          <w:color w:val="000000"/>
        </w:rPr>
        <w:t xml:space="preserve">“Evidence derived from the inspection process is either incomplete or lacks detail and, as such, fails to convince the inspection panel that the provider fully demonstrates the Requirement. Information gathered through meetings with staff and students may not fully support the evidence submitted or there may be contradictory information in the evidence provided. There is, however, some evidence of compliance and it is likely that either (a) the appropriate evidence can be supplied in a short time frame, </w:t>
      </w:r>
      <w:r w:rsidR="003C02A5" w:rsidRPr="00165533">
        <w:rPr>
          <w:rFonts w:ascii="Arial" w:hAnsi="Arial" w:cs="Arial"/>
          <w:color w:val="000000"/>
        </w:rPr>
        <w:t>or</w:t>
      </w:r>
      <w:r w:rsidRPr="00165533">
        <w:rPr>
          <w:rFonts w:ascii="Arial" w:hAnsi="Arial" w:cs="Arial"/>
          <w:color w:val="000000"/>
        </w:rPr>
        <w:t xml:space="preserve"> (b) any deficiencies identified can be addressed and evidenced in the annual monitoring process.”</w:t>
      </w:r>
    </w:p>
    <w:p w14:paraId="40DD764B" w14:textId="77777777" w:rsidR="00072B60" w:rsidRPr="00165533" w:rsidRDefault="00072B60" w:rsidP="00072B60">
      <w:pPr>
        <w:autoSpaceDE w:val="0"/>
        <w:autoSpaceDN w:val="0"/>
        <w:adjustRightInd w:val="0"/>
        <w:spacing w:after="0" w:line="240" w:lineRule="auto"/>
        <w:rPr>
          <w:rFonts w:ascii="Arial" w:hAnsi="Arial" w:cs="Arial"/>
          <w:color w:val="000000"/>
        </w:rPr>
      </w:pPr>
    </w:p>
    <w:p w14:paraId="0B0FED5F" w14:textId="77777777" w:rsidR="00072B60" w:rsidRPr="00165533" w:rsidRDefault="00072B60" w:rsidP="00072B60">
      <w:pPr>
        <w:autoSpaceDE w:val="0"/>
        <w:autoSpaceDN w:val="0"/>
        <w:adjustRightInd w:val="0"/>
        <w:spacing w:after="0" w:line="240" w:lineRule="auto"/>
        <w:rPr>
          <w:rFonts w:ascii="Arial" w:hAnsi="Arial" w:cs="Arial"/>
          <w:color w:val="000000"/>
        </w:rPr>
      </w:pPr>
      <w:r w:rsidRPr="00165533">
        <w:rPr>
          <w:rFonts w:ascii="Arial" w:hAnsi="Arial" w:cs="Arial"/>
          <w:color w:val="000000"/>
        </w:rPr>
        <w:t>A Requirement is not met if:</w:t>
      </w:r>
    </w:p>
    <w:p w14:paraId="7D120BFB" w14:textId="77777777" w:rsidR="00072B60" w:rsidRPr="00165533" w:rsidRDefault="00072B60" w:rsidP="00072B60">
      <w:pPr>
        <w:autoSpaceDE w:val="0"/>
        <w:autoSpaceDN w:val="0"/>
        <w:adjustRightInd w:val="0"/>
        <w:spacing w:after="0" w:line="240" w:lineRule="auto"/>
        <w:rPr>
          <w:rFonts w:ascii="Arial" w:hAnsi="Arial" w:cs="Arial"/>
          <w:color w:val="000000"/>
        </w:rPr>
      </w:pPr>
    </w:p>
    <w:p w14:paraId="38629E69" w14:textId="5FF7C813" w:rsidR="00072B60" w:rsidRPr="00165533" w:rsidRDefault="00072B60" w:rsidP="00072B60">
      <w:pPr>
        <w:autoSpaceDE w:val="0"/>
        <w:autoSpaceDN w:val="0"/>
        <w:adjustRightInd w:val="0"/>
        <w:spacing w:after="0" w:line="240" w:lineRule="auto"/>
        <w:rPr>
          <w:rFonts w:ascii="Arial" w:hAnsi="Arial" w:cs="Arial"/>
          <w:color w:val="000000"/>
        </w:rPr>
      </w:pPr>
      <w:r w:rsidRPr="00165533">
        <w:rPr>
          <w:rFonts w:ascii="Arial" w:hAnsi="Arial" w:cs="Arial"/>
          <w:color w:val="000000"/>
        </w:rPr>
        <w:lastRenderedPageBreak/>
        <w:t xml:space="preserve">“The provider cannot provide evidence to demonstrate a </w:t>
      </w:r>
      <w:r w:rsidR="001C1CB7" w:rsidRPr="00165533">
        <w:rPr>
          <w:rFonts w:ascii="Arial" w:hAnsi="Arial" w:cs="Arial"/>
          <w:color w:val="000000"/>
        </w:rPr>
        <w:t>Requirement,</w:t>
      </w:r>
      <w:r w:rsidRPr="00165533">
        <w:rPr>
          <w:rFonts w:ascii="Arial" w:hAnsi="Arial" w:cs="Arial"/>
          <w:color w:val="000000"/>
        </w:rPr>
        <w:t xml:space="preserve"> or the evidence provided is not convincing. The information gathered at the inspection through meetings with staff and students does not support the evidence provided or the evidence is inconsistent and/or incompatible with other findings. The deficiencies identified are such as to give rise to serious concern and will require an immediate action plan from the provider. The consequences of not meeting a Requirement in terms of the overall sufficiency of a programme will depend upon the compliance of the provider across the range of Requirements and the possible implications for public protection” </w:t>
      </w:r>
    </w:p>
    <w:p w14:paraId="3A63F04C" w14:textId="77777777" w:rsidR="00072B60" w:rsidRPr="00165533" w:rsidRDefault="00072B60" w:rsidP="00072B60">
      <w:pPr>
        <w:autoSpaceDE w:val="0"/>
        <w:autoSpaceDN w:val="0"/>
        <w:adjustRightInd w:val="0"/>
        <w:spacing w:after="0" w:line="240" w:lineRule="auto"/>
        <w:rPr>
          <w:rFonts w:ascii="Arial" w:hAnsi="Arial" w:cs="Arial"/>
          <w:color w:val="000000"/>
        </w:rPr>
      </w:pPr>
    </w:p>
    <w:p w14:paraId="27065865" w14:textId="56DACE3F" w:rsidR="00072B60" w:rsidRPr="00165533" w:rsidRDefault="00072B60" w:rsidP="00072B60">
      <w:pPr>
        <w:autoSpaceDE w:val="0"/>
        <w:autoSpaceDN w:val="0"/>
        <w:adjustRightInd w:val="0"/>
        <w:spacing w:after="0" w:line="240" w:lineRule="auto"/>
        <w:rPr>
          <w:rFonts w:ascii="Arial" w:hAnsi="Arial" w:cs="Arial"/>
          <w:color w:val="000000"/>
        </w:rPr>
      </w:pPr>
      <w:r w:rsidRPr="00165533">
        <w:rPr>
          <w:rFonts w:ascii="Arial" w:hAnsi="Arial" w:cs="Arial"/>
          <w:color w:val="000000"/>
        </w:rPr>
        <w:t xml:space="preserve">5. Inspection reports highlight areas of strength and draw attention to areas requiring improvement and development, including actions that are required to be undertaken by the provider. </w:t>
      </w:r>
      <w:bookmarkStart w:id="0" w:name="_Hlk48834156"/>
      <w:r w:rsidRPr="00165533">
        <w:rPr>
          <w:rFonts w:ascii="Arial" w:hAnsi="Arial" w:cs="Arial"/>
          <w:color w:val="000000"/>
        </w:rPr>
        <w:t xml:space="preserve">Where an action is needed for a Requirement to be met, </w:t>
      </w:r>
      <w:bookmarkStart w:id="1" w:name="_Hlk48834100"/>
      <w:r w:rsidRPr="00165533">
        <w:rPr>
          <w:rFonts w:ascii="Arial" w:hAnsi="Arial" w:cs="Arial"/>
          <w:color w:val="000000"/>
        </w:rPr>
        <w:t xml:space="preserve">the term ‘must’ </w:t>
      </w:r>
      <w:proofErr w:type="gramStart"/>
      <w:r w:rsidRPr="00165533">
        <w:rPr>
          <w:rFonts w:ascii="Arial" w:hAnsi="Arial" w:cs="Arial"/>
          <w:color w:val="000000"/>
        </w:rPr>
        <w:t>is</w:t>
      </w:r>
      <w:proofErr w:type="gramEnd"/>
      <w:r w:rsidRPr="00165533">
        <w:rPr>
          <w:rFonts w:ascii="Arial" w:hAnsi="Arial" w:cs="Arial"/>
          <w:color w:val="000000"/>
        </w:rPr>
        <w:t xml:space="preserve"> used to describe the obligation on the provider to undertake this action. For these actions the </w:t>
      </w:r>
      <w:r w:rsidR="000A44A5" w:rsidRPr="00165533">
        <w:rPr>
          <w:rFonts w:ascii="Arial" w:hAnsi="Arial" w:cs="Arial"/>
          <w:color w:val="000000"/>
        </w:rPr>
        <w:t xml:space="preserve">education associates </w:t>
      </w:r>
      <w:r w:rsidR="007C7855" w:rsidRPr="00165533">
        <w:rPr>
          <w:rFonts w:ascii="Arial" w:hAnsi="Arial" w:cs="Arial"/>
          <w:color w:val="000000"/>
        </w:rPr>
        <w:t>must</w:t>
      </w:r>
      <w:r w:rsidRPr="00165533">
        <w:rPr>
          <w:rFonts w:ascii="Arial" w:hAnsi="Arial" w:cs="Arial"/>
          <w:color w:val="000000"/>
        </w:rPr>
        <w:t xml:space="preserve"> stipulate a specific timescale by which the action must be completed or when an update on progress must be provided</w:t>
      </w:r>
      <w:bookmarkEnd w:id="0"/>
      <w:bookmarkEnd w:id="1"/>
      <w:r w:rsidRPr="00165533">
        <w:rPr>
          <w:rFonts w:ascii="Arial" w:hAnsi="Arial" w:cs="Arial"/>
          <w:color w:val="000000"/>
        </w:rPr>
        <w:t xml:space="preserve">. In their observations on the content of the report, the provider should confirm the anticipated date by which these actions will be completed. </w:t>
      </w:r>
      <w:bookmarkStart w:id="2" w:name="_Hlk48834274"/>
      <w:r w:rsidRPr="00165533">
        <w:rPr>
          <w:rFonts w:ascii="Arial" w:hAnsi="Arial" w:cs="Arial"/>
          <w:color w:val="000000"/>
        </w:rPr>
        <w:t xml:space="preserve">Where an action would improve how a Requirement is met, the term ‘should’ </w:t>
      </w:r>
      <w:proofErr w:type="gramStart"/>
      <w:r w:rsidRPr="00165533">
        <w:rPr>
          <w:rFonts w:ascii="Arial" w:hAnsi="Arial" w:cs="Arial"/>
          <w:color w:val="000000"/>
        </w:rPr>
        <w:t>is</w:t>
      </w:r>
      <w:proofErr w:type="gramEnd"/>
      <w:r w:rsidRPr="00165533">
        <w:rPr>
          <w:rFonts w:ascii="Arial" w:hAnsi="Arial" w:cs="Arial"/>
          <w:color w:val="000000"/>
        </w:rPr>
        <w:t xml:space="preserve"> used and for these actions there will be no due date stipulated</w:t>
      </w:r>
      <w:bookmarkEnd w:id="2"/>
      <w:r w:rsidRPr="00165533">
        <w:rPr>
          <w:rFonts w:ascii="Arial" w:hAnsi="Arial" w:cs="Arial"/>
          <w:color w:val="000000"/>
        </w:rPr>
        <w:t xml:space="preserve">. Providers will be asked to report on the progress in addressing the required actions through the monitoring process. Serious concerns about a lack of progress may result in further inspections or other quality assurance activity. </w:t>
      </w:r>
    </w:p>
    <w:p w14:paraId="3979EACA" w14:textId="77777777" w:rsidR="00072B60" w:rsidRPr="00165533" w:rsidRDefault="00072B60" w:rsidP="00072B60">
      <w:pPr>
        <w:autoSpaceDE w:val="0"/>
        <w:autoSpaceDN w:val="0"/>
        <w:adjustRightInd w:val="0"/>
        <w:spacing w:after="0" w:line="240" w:lineRule="auto"/>
        <w:rPr>
          <w:rFonts w:ascii="Arial" w:hAnsi="Arial" w:cs="Arial"/>
          <w:color w:val="000000"/>
        </w:rPr>
      </w:pPr>
    </w:p>
    <w:p w14:paraId="153127E5" w14:textId="33EB5338" w:rsidR="00072B60" w:rsidRPr="00165533" w:rsidRDefault="00072B60" w:rsidP="00072B60">
      <w:pPr>
        <w:autoSpaceDE w:val="0"/>
        <w:autoSpaceDN w:val="0"/>
        <w:adjustRightInd w:val="0"/>
        <w:spacing w:after="0" w:line="240" w:lineRule="auto"/>
        <w:rPr>
          <w:rFonts w:ascii="Arial" w:hAnsi="Arial" w:cs="Arial"/>
          <w:color w:val="000000"/>
        </w:rPr>
      </w:pPr>
      <w:r w:rsidRPr="00165533">
        <w:rPr>
          <w:rFonts w:ascii="Arial" w:hAnsi="Arial" w:cs="Arial"/>
          <w:color w:val="000000"/>
        </w:rPr>
        <w:t xml:space="preserve">6. The </w:t>
      </w:r>
      <w:r w:rsidR="006630F1" w:rsidRPr="00165533">
        <w:rPr>
          <w:rFonts w:ascii="Arial" w:hAnsi="Arial" w:cs="Arial"/>
          <w:color w:val="000000"/>
        </w:rPr>
        <w:t>E</w:t>
      </w:r>
      <w:r w:rsidR="000A44A5" w:rsidRPr="00165533">
        <w:rPr>
          <w:rFonts w:ascii="Arial" w:hAnsi="Arial" w:cs="Arial"/>
          <w:color w:val="000000"/>
        </w:rPr>
        <w:t xml:space="preserve">ducation Quality Assurance </w:t>
      </w:r>
      <w:r w:rsidRPr="00165533">
        <w:rPr>
          <w:rFonts w:ascii="Arial" w:hAnsi="Arial" w:cs="Arial"/>
          <w:color w:val="000000"/>
        </w:rPr>
        <w:t xml:space="preserve">team aims to send an initial draft of the inspection report to the provider within two months of the conclusion of the inspection. The provider of the qualification has the opportunity to provide factual corrections on the draft report. Following the production of the final report the provider is asked to submit observations on, or objections to, the report and the actions listed. Where the inspection panel have recommended that the programme is sufficient for registration, the Council of the GDC have delegated responsibility to the GDC Registrar to consider the recommendations of the panel. Should an inspection panel not be able to recommend ‘sufficiency’ or ‘approval’, the report and observations would be presented to the Council of the GDC for consideration. </w:t>
      </w:r>
    </w:p>
    <w:p w14:paraId="19D42DDF" w14:textId="77777777" w:rsidR="00072B60" w:rsidRPr="00165533" w:rsidRDefault="00072B60" w:rsidP="00072B60">
      <w:pPr>
        <w:autoSpaceDE w:val="0"/>
        <w:autoSpaceDN w:val="0"/>
        <w:adjustRightInd w:val="0"/>
        <w:spacing w:after="0" w:line="240" w:lineRule="auto"/>
        <w:rPr>
          <w:rFonts w:ascii="Arial" w:hAnsi="Arial" w:cs="Arial"/>
          <w:color w:val="000000"/>
        </w:rPr>
      </w:pPr>
    </w:p>
    <w:p w14:paraId="47EEB0C6" w14:textId="2C1EF068" w:rsidR="00D331B5" w:rsidRPr="001C1CB7" w:rsidRDefault="00072B60" w:rsidP="003835BD">
      <w:pPr>
        <w:autoSpaceDE w:val="0"/>
        <w:autoSpaceDN w:val="0"/>
        <w:adjustRightInd w:val="0"/>
        <w:spacing w:after="0" w:line="240" w:lineRule="auto"/>
        <w:rPr>
          <w:rFonts w:ascii="Arial" w:hAnsi="Arial" w:cs="Arial"/>
          <w:color w:val="1F3864" w:themeColor="accent1" w:themeShade="80"/>
        </w:rPr>
      </w:pPr>
      <w:r w:rsidRPr="00165533">
        <w:rPr>
          <w:rFonts w:ascii="Arial" w:hAnsi="Arial" w:cs="Arial"/>
          <w:color w:val="000000"/>
        </w:rPr>
        <w:t>7. The final version of the report and the provider’s observations are published on the GDC websit</w:t>
      </w:r>
      <w:r w:rsidR="00102531" w:rsidRPr="00165533">
        <w:rPr>
          <w:rFonts w:ascii="Arial" w:hAnsi="Arial" w:cs="Arial"/>
          <w:color w:val="000000"/>
        </w:rPr>
        <w:t>e.</w:t>
      </w:r>
    </w:p>
    <w:sectPr w:rsidR="00D331B5" w:rsidRPr="001C1CB7" w:rsidSect="000D5F3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6B7EC" w14:textId="77777777" w:rsidR="00CB78A6" w:rsidRDefault="00CB78A6">
      <w:pPr>
        <w:spacing w:after="0" w:line="240" w:lineRule="auto"/>
      </w:pPr>
      <w:r>
        <w:separator/>
      </w:r>
    </w:p>
  </w:endnote>
  <w:endnote w:type="continuationSeparator" w:id="0">
    <w:p w14:paraId="23E10AF3" w14:textId="77777777" w:rsidR="00CB78A6" w:rsidRDefault="00CB7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004312"/>
      <w:docPartObj>
        <w:docPartGallery w:val="Page Numbers (Bottom of Page)"/>
        <w:docPartUnique/>
      </w:docPartObj>
    </w:sdtPr>
    <w:sdtEndPr>
      <w:rPr>
        <w:noProof/>
      </w:rPr>
    </w:sdtEndPr>
    <w:sdtContent>
      <w:p w14:paraId="1D1D7F2D" w14:textId="3BBF885B" w:rsidR="00711964" w:rsidRDefault="007119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04A63" w14:textId="4EC44631" w:rsidR="003835BD" w:rsidRPr="00CB6EEE" w:rsidRDefault="003835BD" w:rsidP="00CB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E94A5" w14:textId="77777777" w:rsidR="00CB78A6" w:rsidRDefault="00CB78A6">
      <w:pPr>
        <w:spacing w:after="0" w:line="240" w:lineRule="auto"/>
      </w:pPr>
      <w:r>
        <w:separator/>
      </w:r>
    </w:p>
  </w:footnote>
  <w:footnote w:type="continuationSeparator" w:id="0">
    <w:p w14:paraId="4079E1B5" w14:textId="77777777" w:rsidR="00CB78A6" w:rsidRDefault="00CB78A6">
      <w:pPr>
        <w:spacing w:after="0" w:line="240" w:lineRule="auto"/>
      </w:pPr>
      <w:r>
        <w:continuationSeparator/>
      </w:r>
    </w:p>
  </w:footnote>
  <w:footnote w:id="1">
    <w:p w14:paraId="51B743D2" w14:textId="783F00FD" w:rsidR="00F671FD" w:rsidRPr="001C1CB7" w:rsidRDefault="00F671FD">
      <w:pPr>
        <w:pStyle w:val="FootnoteText"/>
        <w:rPr>
          <w:rFonts w:ascii="Arial" w:hAnsi="Arial" w:cs="Arial"/>
        </w:rPr>
      </w:pPr>
      <w:r w:rsidRPr="001C1CB7">
        <w:rPr>
          <w:rStyle w:val="FootnoteReference"/>
          <w:rFonts w:ascii="Arial" w:hAnsi="Arial" w:cs="Arial"/>
        </w:rPr>
        <w:footnoteRef/>
      </w:r>
      <w:r w:rsidRPr="001C1CB7">
        <w:rPr>
          <w:rFonts w:ascii="Arial" w:hAnsi="Arial" w:cs="Arial"/>
        </w:rPr>
        <w:t xml:space="preserve"> All Requirements within the </w:t>
      </w:r>
      <w:r w:rsidRPr="001C1CB7">
        <w:rPr>
          <w:rFonts w:ascii="Arial" w:hAnsi="Arial" w:cs="Arial"/>
          <w:i/>
        </w:rPr>
        <w:t xml:space="preserve">Standards for Education </w:t>
      </w:r>
      <w:r w:rsidRPr="001C1CB7">
        <w:rPr>
          <w:rFonts w:ascii="Arial" w:hAnsi="Arial" w:cs="Arial"/>
        </w:rPr>
        <w:t>are applicable for all programmes</w:t>
      </w:r>
      <w:r w:rsidR="00292831" w:rsidRPr="001C1CB7">
        <w:rPr>
          <w:rFonts w:ascii="Arial" w:hAnsi="Arial" w:cs="Arial"/>
        </w:rPr>
        <w:t xml:space="preserve"> unless otherwise stated</w:t>
      </w:r>
      <w:r w:rsidRPr="001C1CB7">
        <w:rPr>
          <w:rFonts w:ascii="Arial" w:hAnsi="Arial" w:cs="Arial"/>
        </w:rPr>
        <w:t xml:space="preserve">. Specific </w:t>
      </w:r>
      <w:r w:rsidR="000957F1" w:rsidRPr="001C1CB7">
        <w:rPr>
          <w:rFonts w:ascii="Arial" w:hAnsi="Arial" w:cs="Arial"/>
        </w:rPr>
        <w:t>r</w:t>
      </w:r>
      <w:r w:rsidRPr="001C1CB7">
        <w:rPr>
          <w:rFonts w:ascii="Arial" w:hAnsi="Arial" w:cs="Arial"/>
        </w:rPr>
        <w:t xml:space="preserve">equirements will be examined through inspection activity </w:t>
      </w:r>
      <w:r w:rsidR="000957F1" w:rsidRPr="001C1CB7">
        <w:rPr>
          <w:rFonts w:ascii="Arial" w:hAnsi="Arial" w:cs="Arial"/>
        </w:rPr>
        <w:t>and will be identified</w:t>
      </w:r>
      <w:r w:rsidRPr="001C1CB7">
        <w:rPr>
          <w:rFonts w:ascii="Arial" w:hAnsi="Arial" w:cs="Arial"/>
        </w:rPr>
        <w:t xml:space="preserve"> via risk analysis processes or due to current thematic reviews.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1F9"/>
    <w:multiLevelType w:val="hybridMultilevel"/>
    <w:tmpl w:val="CBF6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61A3"/>
    <w:multiLevelType w:val="hybridMultilevel"/>
    <w:tmpl w:val="A900D3F0"/>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9E968B2"/>
    <w:multiLevelType w:val="hybridMultilevel"/>
    <w:tmpl w:val="673E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9241E"/>
    <w:multiLevelType w:val="hybridMultilevel"/>
    <w:tmpl w:val="AC2E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F04A7"/>
    <w:multiLevelType w:val="hybridMultilevel"/>
    <w:tmpl w:val="2FE4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43A5A"/>
    <w:multiLevelType w:val="hybridMultilevel"/>
    <w:tmpl w:val="B4C8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7068D"/>
    <w:multiLevelType w:val="hybridMultilevel"/>
    <w:tmpl w:val="BB1E24B4"/>
    <w:lvl w:ilvl="0" w:tplc="6BF65E4C">
      <w:start w:val="1"/>
      <w:numFmt w:val="decimal"/>
      <w:lvlText w:val="%1."/>
      <w:lvlJc w:val="left"/>
      <w:pPr>
        <w:ind w:left="720" w:hanging="360"/>
      </w:pPr>
    </w:lvl>
    <w:lvl w:ilvl="1" w:tplc="0540BA0E">
      <w:start w:val="1"/>
      <w:numFmt w:val="lowerLetter"/>
      <w:lvlText w:val="%2."/>
      <w:lvlJc w:val="left"/>
      <w:pPr>
        <w:ind w:left="1440" w:hanging="360"/>
      </w:pPr>
    </w:lvl>
    <w:lvl w:ilvl="2" w:tplc="303A8D48">
      <w:start w:val="1"/>
      <w:numFmt w:val="lowerRoman"/>
      <w:lvlText w:val="%3."/>
      <w:lvlJc w:val="right"/>
      <w:pPr>
        <w:ind w:left="2160" w:hanging="180"/>
      </w:pPr>
    </w:lvl>
    <w:lvl w:ilvl="3" w:tplc="A9B404DC">
      <w:start w:val="1"/>
      <w:numFmt w:val="decimal"/>
      <w:lvlText w:val="%4."/>
      <w:lvlJc w:val="left"/>
      <w:pPr>
        <w:ind w:left="2880" w:hanging="360"/>
      </w:pPr>
    </w:lvl>
    <w:lvl w:ilvl="4" w:tplc="CEDC4FDC">
      <w:start w:val="1"/>
      <w:numFmt w:val="lowerLetter"/>
      <w:lvlText w:val="%5."/>
      <w:lvlJc w:val="left"/>
      <w:pPr>
        <w:ind w:left="3600" w:hanging="360"/>
      </w:pPr>
    </w:lvl>
    <w:lvl w:ilvl="5" w:tplc="2794DBE2">
      <w:start w:val="1"/>
      <w:numFmt w:val="lowerRoman"/>
      <w:lvlText w:val="%6."/>
      <w:lvlJc w:val="right"/>
      <w:pPr>
        <w:ind w:left="4320" w:hanging="180"/>
      </w:pPr>
    </w:lvl>
    <w:lvl w:ilvl="6" w:tplc="064AA306">
      <w:start w:val="1"/>
      <w:numFmt w:val="decimal"/>
      <w:lvlText w:val="%7."/>
      <w:lvlJc w:val="left"/>
      <w:pPr>
        <w:ind w:left="5040" w:hanging="360"/>
      </w:pPr>
    </w:lvl>
    <w:lvl w:ilvl="7" w:tplc="C958EFDA">
      <w:start w:val="1"/>
      <w:numFmt w:val="lowerLetter"/>
      <w:lvlText w:val="%8."/>
      <w:lvlJc w:val="left"/>
      <w:pPr>
        <w:ind w:left="5760" w:hanging="360"/>
      </w:pPr>
    </w:lvl>
    <w:lvl w:ilvl="8" w:tplc="2F007FA8">
      <w:start w:val="1"/>
      <w:numFmt w:val="lowerRoman"/>
      <w:lvlText w:val="%9."/>
      <w:lvlJc w:val="right"/>
      <w:pPr>
        <w:ind w:left="6480" w:hanging="180"/>
      </w:pPr>
    </w:lvl>
  </w:abstractNum>
  <w:abstractNum w:abstractNumId="7" w15:restartNumberingAfterBreak="0">
    <w:nsid w:val="2BC733B2"/>
    <w:multiLevelType w:val="hybridMultilevel"/>
    <w:tmpl w:val="1576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901FB"/>
    <w:multiLevelType w:val="hybridMultilevel"/>
    <w:tmpl w:val="3DA2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70A17"/>
    <w:multiLevelType w:val="hybridMultilevel"/>
    <w:tmpl w:val="8706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670B4"/>
    <w:multiLevelType w:val="multilevel"/>
    <w:tmpl w:val="E1F6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C3D3E"/>
    <w:multiLevelType w:val="multilevel"/>
    <w:tmpl w:val="CCEE5EDE"/>
    <w:lvl w:ilvl="0">
      <w:start w:val="1"/>
      <w:numFmt w:val="decimal"/>
      <w:pStyle w:val="PKFHeading1Numbered"/>
      <w:lvlText w:val="%1"/>
      <w:lvlJc w:val="left"/>
      <w:pPr>
        <w:tabs>
          <w:tab w:val="num" w:pos="851"/>
        </w:tabs>
        <w:ind w:left="851" w:hanging="851"/>
      </w:pPr>
    </w:lvl>
    <w:lvl w:ilvl="1">
      <w:start w:val="1"/>
      <w:numFmt w:val="decimal"/>
      <w:pStyle w:val="PKFNormalNumbered"/>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lowerRoman"/>
      <w:lvlText w:val="(%5)"/>
      <w:lvlJc w:val="left"/>
      <w:pPr>
        <w:tabs>
          <w:tab w:val="num" w:pos="1418"/>
        </w:tabs>
        <w:ind w:left="1418" w:hanging="567"/>
      </w:p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12" w15:restartNumberingAfterBreak="0">
    <w:nsid w:val="394430DB"/>
    <w:multiLevelType w:val="hybridMultilevel"/>
    <w:tmpl w:val="977E42A6"/>
    <w:lvl w:ilvl="0" w:tplc="599AC1CC">
      <w:start w:val="1"/>
      <w:numFmt w:val="decimal"/>
      <w:lvlText w:val="%1."/>
      <w:lvlJc w:val="left"/>
      <w:pPr>
        <w:ind w:left="720" w:hanging="360"/>
      </w:pPr>
    </w:lvl>
    <w:lvl w:ilvl="1" w:tplc="6A00F370">
      <w:start w:val="1"/>
      <w:numFmt w:val="lowerLetter"/>
      <w:lvlText w:val="%2."/>
      <w:lvlJc w:val="left"/>
      <w:pPr>
        <w:ind w:left="1440" w:hanging="360"/>
      </w:pPr>
    </w:lvl>
    <w:lvl w:ilvl="2" w:tplc="953CA2DA">
      <w:start w:val="1"/>
      <w:numFmt w:val="lowerRoman"/>
      <w:lvlText w:val="%3."/>
      <w:lvlJc w:val="right"/>
      <w:pPr>
        <w:ind w:left="2160" w:hanging="180"/>
      </w:pPr>
    </w:lvl>
    <w:lvl w:ilvl="3" w:tplc="2B8AC4F2">
      <w:start w:val="1"/>
      <w:numFmt w:val="decimal"/>
      <w:lvlText w:val="%4."/>
      <w:lvlJc w:val="left"/>
      <w:pPr>
        <w:ind w:left="2880" w:hanging="360"/>
      </w:pPr>
    </w:lvl>
    <w:lvl w:ilvl="4" w:tplc="05144454">
      <w:start w:val="1"/>
      <w:numFmt w:val="lowerLetter"/>
      <w:lvlText w:val="%5."/>
      <w:lvlJc w:val="left"/>
      <w:pPr>
        <w:ind w:left="3600" w:hanging="360"/>
      </w:pPr>
    </w:lvl>
    <w:lvl w:ilvl="5" w:tplc="C1FC8B86">
      <w:start w:val="1"/>
      <w:numFmt w:val="lowerRoman"/>
      <w:lvlText w:val="%6."/>
      <w:lvlJc w:val="right"/>
      <w:pPr>
        <w:ind w:left="4320" w:hanging="180"/>
      </w:pPr>
    </w:lvl>
    <w:lvl w:ilvl="6" w:tplc="F3A47C8E">
      <w:start w:val="1"/>
      <w:numFmt w:val="decimal"/>
      <w:lvlText w:val="%7."/>
      <w:lvlJc w:val="left"/>
      <w:pPr>
        <w:ind w:left="5040" w:hanging="360"/>
      </w:pPr>
    </w:lvl>
    <w:lvl w:ilvl="7" w:tplc="DA7A2D3E">
      <w:start w:val="1"/>
      <w:numFmt w:val="lowerLetter"/>
      <w:lvlText w:val="%8."/>
      <w:lvlJc w:val="left"/>
      <w:pPr>
        <w:ind w:left="5760" w:hanging="360"/>
      </w:pPr>
    </w:lvl>
    <w:lvl w:ilvl="8" w:tplc="160872B2">
      <w:start w:val="1"/>
      <w:numFmt w:val="lowerRoman"/>
      <w:lvlText w:val="%9."/>
      <w:lvlJc w:val="right"/>
      <w:pPr>
        <w:ind w:left="6480" w:hanging="180"/>
      </w:pPr>
    </w:lvl>
  </w:abstractNum>
  <w:abstractNum w:abstractNumId="13" w15:restartNumberingAfterBreak="0">
    <w:nsid w:val="3D646A1F"/>
    <w:multiLevelType w:val="hybridMultilevel"/>
    <w:tmpl w:val="FB9A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C6BA9"/>
    <w:multiLevelType w:val="hybridMultilevel"/>
    <w:tmpl w:val="96EC706C"/>
    <w:lvl w:ilvl="0" w:tplc="B4E67BEC">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A6DA9"/>
    <w:multiLevelType w:val="hybridMultilevel"/>
    <w:tmpl w:val="5EBC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F39A2"/>
    <w:multiLevelType w:val="hybridMultilevel"/>
    <w:tmpl w:val="77440C4E"/>
    <w:lvl w:ilvl="0" w:tplc="816A4FFA">
      <w:start w:val="1"/>
      <w:numFmt w:val="decimal"/>
      <w:lvlText w:val="%1."/>
      <w:lvlJc w:val="left"/>
      <w:pPr>
        <w:ind w:left="720" w:hanging="360"/>
      </w:pPr>
    </w:lvl>
    <w:lvl w:ilvl="1" w:tplc="9622309A">
      <w:start w:val="1"/>
      <w:numFmt w:val="lowerLetter"/>
      <w:lvlText w:val="%2."/>
      <w:lvlJc w:val="left"/>
      <w:pPr>
        <w:ind w:left="1440" w:hanging="360"/>
      </w:pPr>
    </w:lvl>
    <w:lvl w:ilvl="2" w:tplc="F7AC4C9C">
      <w:start w:val="1"/>
      <w:numFmt w:val="lowerRoman"/>
      <w:lvlText w:val="%3."/>
      <w:lvlJc w:val="right"/>
      <w:pPr>
        <w:ind w:left="2160" w:hanging="180"/>
      </w:pPr>
    </w:lvl>
    <w:lvl w:ilvl="3" w:tplc="57F0E83A">
      <w:start w:val="1"/>
      <w:numFmt w:val="decimal"/>
      <w:lvlText w:val="%4."/>
      <w:lvlJc w:val="left"/>
      <w:pPr>
        <w:ind w:left="2880" w:hanging="360"/>
      </w:pPr>
    </w:lvl>
    <w:lvl w:ilvl="4" w:tplc="BBE86C08">
      <w:start w:val="1"/>
      <w:numFmt w:val="lowerLetter"/>
      <w:lvlText w:val="%5."/>
      <w:lvlJc w:val="left"/>
      <w:pPr>
        <w:ind w:left="3600" w:hanging="360"/>
      </w:pPr>
    </w:lvl>
    <w:lvl w:ilvl="5" w:tplc="E5CAFFC8">
      <w:start w:val="1"/>
      <w:numFmt w:val="lowerRoman"/>
      <w:lvlText w:val="%6."/>
      <w:lvlJc w:val="right"/>
      <w:pPr>
        <w:ind w:left="4320" w:hanging="180"/>
      </w:pPr>
    </w:lvl>
    <w:lvl w:ilvl="6" w:tplc="2AD0CDAE">
      <w:start w:val="1"/>
      <w:numFmt w:val="decimal"/>
      <w:lvlText w:val="%7."/>
      <w:lvlJc w:val="left"/>
      <w:pPr>
        <w:ind w:left="5040" w:hanging="360"/>
      </w:pPr>
    </w:lvl>
    <w:lvl w:ilvl="7" w:tplc="12A83260">
      <w:start w:val="1"/>
      <w:numFmt w:val="lowerLetter"/>
      <w:lvlText w:val="%8."/>
      <w:lvlJc w:val="left"/>
      <w:pPr>
        <w:ind w:left="5760" w:hanging="360"/>
      </w:pPr>
    </w:lvl>
    <w:lvl w:ilvl="8" w:tplc="1318E116">
      <w:start w:val="1"/>
      <w:numFmt w:val="lowerRoman"/>
      <w:lvlText w:val="%9."/>
      <w:lvlJc w:val="right"/>
      <w:pPr>
        <w:ind w:left="6480" w:hanging="180"/>
      </w:pPr>
    </w:lvl>
  </w:abstractNum>
  <w:abstractNum w:abstractNumId="17" w15:restartNumberingAfterBreak="0">
    <w:nsid w:val="59BD63F5"/>
    <w:multiLevelType w:val="hybridMultilevel"/>
    <w:tmpl w:val="BECC4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FA122"/>
    <w:multiLevelType w:val="hybridMultilevel"/>
    <w:tmpl w:val="F1806B6A"/>
    <w:lvl w:ilvl="0" w:tplc="414EE246">
      <w:start w:val="1"/>
      <w:numFmt w:val="decimal"/>
      <w:lvlText w:val="%1."/>
      <w:lvlJc w:val="left"/>
      <w:pPr>
        <w:ind w:left="720" w:hanging="360"/>
      </w:pPr>
    </w:lvl>
    <w:lvl w:ilvl="1" w:tplc="4D4E2CA4">
      <w:start w:val="1"/>
      <w:numFmt w:val="lowerLetter"/>
      <w:lvlText w:val="%2."/>
      <w:lvlJc w:val="left"/>
      <w:pPr>
        <w:ind w:left="1440" w:hanging="360"/>
      </w:pPr>
    </w:lvl>
    <w:lvl w:ilvl="2" w:tplc="E9F61934">
      <w:start w:val="1"/>
      <w:numFmt w:val="lowerRoman"/>
      <w:lvlText w:val="%3."/>
      <w:lvlJc w:val="right"/>
      <w:pPr>
        <w:ind w:left="2160" w:hanging="180"/>
      </w:pPr>
    </w:lvl>
    <w:lvl w:ilvl="3" w:tplc="2C341708">
      <w:start w:val="1"/>
      <w:numFmt w:val="decimal"/>
      <w:lvlText w:val="%4."/>
      <w:lvlJc w:val="left"/>
      <w:pPr>
        <w:ind w:left="2880" w:hanging="360"/>
      </w:pPr>
    </w:lvl>
    <w:lvl w:ilvl="4" w:tplc="1270C0E0">
      <w:start w:val="1"/>
      <w:numFmt w:val="lowerLetter"/>
      <w:lvlText w:val="%5."/>
      <w:lvlJc w:val="left"/>
      <w:pPr>
        <w:ind w:left="3600" w:hanging="360"/>
      </w:pPr>
    </w:lvl>
    <w:lvl w:ilvl="5" w:tplc="C776ACDC">
      <w:start w:val="1"/>
      <w:numFmt w:val="lowerRoman"/>
      <w:lvlText w:val="%6."/>
      <w:lvlJc w:val="right"/>
      <w:pPr>
        <w:ind w:left="4320" w:hanging="180"/>
      </w:pPr>
    </w:lvl>
    <w:lvl w:ilvl="6" w:tplc="158E497A">
      <w:start w:val="1"/>
      <w:numFmt w:val="decimal"/>
      <w:lvlText w:val="%7."/>
      <w:lvlJc w:val="left"/>
      <w:pPr>
        <w:ind w:left="5040" w:hanging="360"/>
      </w:pPr>
    </w:lvl>
    <w:lvl w:ilvl="7" w:tplc="1A7EBEFE">
      <w:start w:val="1"/>
      <w:numFmt w:val="lowerLetter"/>
      <w:lvlText w:val="%8."/>
      <w:lvlJc w:val="left"/>
      <w:pPr>
        <w:ind w:left="5760" w:hanging="360"/>
      </w:pPr>
    </w:lvl>
    <w:lvl w:ilvl="8" w:tplc="C3901598">
      <w:start w:val="1"/>
      <w:numFmt w:val="lowerRoman"/>
      <w:lvlText w:val="%9."/>
      <w:lvlJc w:val="right"/>
      <w:pPr>
        <w:ind w:left="6480" w:hanging="180"/>
      </w:pPr>
    </w:lvl>
  </w:abstractNum>
  <w:abstractNum w:abstractNumId="19" w15:restartNumberingAfterBreak="0">
    <w:nsid w:val="5FAA4BA7"/>
    <w:multiLevelType w:val="hybridMultilevel"/>
    <w:tmpl w:val="F50EA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E2624D"/>
    <w:multiLevelType w:val="hybridMultilevel"/>
    <w:tmpl w:val="E04EBBC2"/>
    <w:lvl w:ilvl="0" w:tplc="BC0CBDC6">
      <w:start w:val="1"/>
      <w:numFmt w:val="decimal"/>
      <w:lvlText w:val="%1."/>
      <w:lvlJc w:val="left"/>
      <w:pPr>
        <w:ind w:left="720" w:hanging="360"/>
      </w:pPr>
    </w:lvl>
    <w:lvl w:ilvl="1" w:tplc="F510F2EE">
      <w:start w:val="1"/>
      <w:numFmt w:val="lowerLetter"/>
      <w:lvlText w:val="%2."/>
      <w:lvlJc w:val="left"/>
      <w:pPr>
        <w:ind w:left="1440" w:hanging="360"/>
      </w:pPr>
    </w:lvl>
    <w:lvl w:ilvl="2" w:tplc="3B4AE1E2">
      <w:start w:val="1"/>
      <w:numFmt w:val="lowerRoman"/>
      <w:lvlText w:val="%3."/>
      <w:lvlJc w:val="right"/>
      <w:pPr>
        <w:ind w:left="2160" w:hanging="180"/>
      </w:pPr>
    </w:lvl>
    <w:lvl w:ilvl="3" w:tplc="60FAB90E">
      <w:start w:val="1"/>
      <w:numFmt w:val="decimal"/>
      <w:lvlText w:val="%4."/>
      <w:lvlJc w:val="left"/>
      <w:pPr>
        <w:ind w:left="2880" w:hanging="360"/>
      </w:pPr>
    </w:lvl>
    <w:lvl w:ilvl="4" w:tplc="BE020886">
      <w:start w:val="1"/>
      <w:numFmt w:val="lowerLetter"/>
      <w:lvlText w:val="%5."/>
      <w:lvlJc w:val="left"/>
      <w:pPr>
        <w:ind w:left="3600" w:hanging="360"/>
      </w:pPr>
    </w:lvl>
    <w:lvl w:ilvl="5" w:tplc="6E2634E4">
      <w:start w:val="1"/>
      <w:numFmt w:val="lowerRoman"/>
      <w:lvlText w:val="%6."/>
      <w:lvlJc w:val="right"/>
      <w:pPr>
        <w:ind w:left="4320" w:hanging="180"/>
      </w:pPr>
    </w:lvl>
    <w:lvl w:ilvl="6" w:tplc="7A1048E0">
      <w:start w:val="1"/>
      <w:numFmt w:val="decimal"/>
      <w:lvlText w:val="%7."/>
      <w:lvlJc w:val="left"/>
      <w:pPr>
        <w:ind w:left="5040" w:hanging="360"/>
      </w:pPr>
    </w:lvl>
    <w:lvl w:ilvl="7" w:tplc="24FC2C00">
      <w:start w:val="1"/>
      <w:numFmt w:val="lowerLetter"/>
      <w:lvlText w:val="%8."/>
      <w:lvlJc w:val="left"/>
      <w:pPr>
        <w:ind w:left="5760" w:hanging="360"/>
      </w:pPr>
    </w:lvl>
    <w:lvl w:ilvl="8" w:tplc="7BFCF236">
      <w:start w:val="1"/>
      <w:numFmt w:val="lowerRoman"/>
      <w:lvlText w:val="%9."/>
      <w:lvlJc w:val="right"/>
      <w:pPr>
        <w:ind w:left="6480" w:hanging="180"/>
      </w:pPr>
    </w:lvl>
  </w:abstractNum>
  <w:abstractNum w:abstractNumId="21" w15:restartNumberingAfterBreak="0">
    <w:nsid w:val="76305B52"/>
    <w:multiLevelType w:val="hybridMultilevel"/>
    <w:tmpl w:val="E04C6D3C"/>
    <w:lvl w:ilvl="0" w:tplc="6442C72E">
      <w:start w:val="1"/>
      <w:numFmt w:val="decimal"/>
      <w:lvlText w:val="%1."/>
      <w:lvlJc w:val="left"/>
      <w:pPr>
        <w:ind w:left="1230" w:hanging="45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2" w15:restartNumberingAfterBreak="0">
    <w:nsid w:val="795A32AE"/>
    <w:multiLevelType w:val="hybridMultilevel"/>
    <w:tmpl w:val="D4C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652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16cid:durableId="626471983">
    <w:abstractNumId w:val="14"/>
  </w:num>
  <w:num w:numId="3" w16cid:durableId="533688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8531871">
    <w:abstractNumId w:val="19"/>
  </w:num>
  <w:num w:numId="5" w16cid:durableId="1360619776">
    <w:abstractNumId w:val="1"/>
  </w:num>
  <w:num w:numId="6" w16cid:durableId="1751153588">
    <w:abstractNumId w:val="9"/>
  </w:num>
  <w:num w:numId="7" w16cid:durableId="614483974">
    <w:abstractNumId w:val="13"/>
  </w:num>
  <w:num w:numId="8" w16cid:durableId="1459302264">
    <w:abstractNumId w:val="4"/>
  </w:num>
  <w:num w:numId="9" w16cid:durableId="458107587">
    <w:abstractNumId w:val="7"/>
  </w:num>
  <w:num w:numId="10" w16cid:durableId="1563249575">
    <w:abstractNumId w:val="5"/>
  </w:num>
  <w:num w:numId="11" w16cid:durableId="1605261663">
    <w:abstractNumId w:val="8"/>
  </w:num>
  <w:num w:numId="12" w16cid:durableId="445122747">
    <w:abstractNumId w:val="2"/>
  </w:num>
  <w:num w:numId="13" w16cid:durableId="1450392131">
    <w:abstractNumId w:val="22"/>
  </w:num>
  <w:num w:numId="14" w16cid:durableId="1257056569">
    <w:abstractNumId w:val="15"/>
  </w:num>
  <w:num w:numId="15" w16cid:durableId="1188907229">
    <w:abstractNumId w:val="3"/>
  </w:num>
  <w:num w:numId="16" w16cid:durableId="1141309622">
    <w:abstractNumId w:val="0"/>
  </w:num>
  <w:num w:numId="17" w16cid:durableId="2121869998">
    <w:abstractNumId w:val="10"/>
  </w:num>
  <w:num w:numId="18" w16cid:durableId="1118989257">
    <w:abstractNumId w:val="17"/>
  </w:num>
  <w:num w:numId="19" w16cid:durableId="1595550851">
    <w:abstractNumId w:val="6"/>
  </w:num>
  <w:num w:numId="20" w16cid:durableId="1219902922">
    <w:abstractNumId w:val="20"/>
  </w:num>
  <w:num w:numId="21" w16cid:durableId="720977912">
    <w:abstractNumId w:val="16"/>
  </w:num>
  <w:num w:numId="22" w16cid:durableId="1570730539">
    <w:abstractNumId w:val="18"/>
  </w:num>
  <w:num w:numId="23" w16cid:durableId="397293094">
    <w:abstractNumId w:val="12"/>
  </w:num>
  <w:num w:numId="24" w16cid:durableId="6471244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25"/>
    <w:rsid w:val="0000445E"/>
    <w:rsid w:val="000179D0"/>
    <w:rsid w:val="00021AC6"/>
    <w:rsid w:val="00034AE8"/>
    <w:rsid w:val="0003751A"/>
    <w:rsid w:val="0004131D"/>
    <w:rsid w:val="0004363C"/>
    <w:rsid w:val="00045041"/>
    <w:rsid w:val="0005418F"/>
    <w:rsid w:val="00055147"/>
    <w:rsid w:val="00072B60"/>
    <w:rsid w:val="0008193C"/>
    <w:rsid w:val="00082F5C"/>
    <w:rsid w:val="00093A44"/>
    <w:rsid w:val="000957F1"/>
    <w:rsid w:val="00095B81"/>
    <w:rsid w:val="000A14D2"/>
    <w:rsid w:val="000A44A5"/>
    <w:rsid w:val="000A6A8E"/>
    <w:rsid w:val="000B3645"/>
    <w:rsid w:val="000C5FBE"/>
    <w:rsid w:val="000D5F33"/>
    <w:rsid w:val="000D610E"/>
    <w:rsid w:val="000D66CE"/>
    <w:rsid w:val="000E3F78"/>
    <w:rsid w:val="000F6624"/>
    <w:rsid w:val="00102531"/>
    <w:rsid w:val="00105196"/>
    <w:rsid w:val="0011337F"/>
    <w:rsid w:val="0011447A"/>
    <w:rsid w:val="00124308"/>
    <w:rsid w:val="00125D9F"/>
    <w:rsid w:val="0013067E"/>
    <w:rsid w:val="0013284A"/>
    <w:rsid w:val="00143716"/>
    <w:rsid w:val="0015017A"/>
    <w:rsid w:val="00151834"/>
    <w:rsid w:val="00165533"/>
    <w:rsid w:val="00166D6B"/>
    <w:rsid w:val="00167D74"/>
    <w:rsid w:val="001960C1"/>
    <w:rsid w:val="001A2654"/>
    <w:rsid w:val="001A4398"/>
    <w:rsid w:val="001A66D1"/>
    <w:rsid w:val="001B5978"/>
    <w:rsid w:val="001C1CB7"/>
    <w:rsid w:val="001C7E2A"/>
    <w:rsid w:val="001D7207"/>
    <w:rsid w:val="001F4E46"/>
    <w:rsid w:val="001F608F"/>
    <w:rsid w:val="00200492"/>
    <w:rsid w:val="00202EB7"/>
    <w:rsid w:val="00204364"/>
    <w:rsid w:val="00204D49"/>
    <w:rsid w:val="00204EAF"/>
    <w:rsid w:val="0021348C"/>
    <w:rsid w:val="002234B0"/>
    <w:rsid w:val="0024028A"/>
    <w:rsid w:val="00241C5B"/>
    <w:rsid w:val="00246D21"/>
    <w:rsid w:val="00247C47"/>
    <w:rsid w:val="002546AF"/>
    <w:rsid w:val="00262838"/>
    <w:rsid w:val="00282236"/>
    <w:rsid w:val="00285E05"/>
    <w:rsid w:val="00290B1F"/>
    <w:rsid w:val="00292831"/>
    <w:rsid w:val="002A111C"/>
    <w:rsid w:val="002A6931"/>
    <w:rsid w:val="002D4638"/>
    <w:rsid w:val="002D6AF3"/>
    <w:rsid w:val="002E230D"/>
    <w:rsid w:val="002E47B7"/>
    <w:rsid w:val="002E6D7F"/>
    <w:rsid w:val="002F161B"/>
    <w:rsid w:val="003106FA"/>
    <w:rsid w:val="00311D1F"/>
    <w:rsid w:val="00325ADE"/>
    <w:rsid w:val="00351218"/>
    <w:rsid w:val="003545D7"/>
    <w:rsid w:val="00365487"/>
    <w:rsid w:val="00370E2E"/>
    <w:rsid w:val="0037274C"/>
    <w:rsid w:val="003747AD"/>
    <w:rsid w:val="00377D4E"/>
    <w:rsid w:val="003835BD"/>
    <w:rsid w:val="0038522C"/>
    <w:rsid w:val="003878F0"/>
    <w:rsid w:val="00387AAF"/>
    <w:rsid w:val="00390EAC"/>
    <w:rsid w:val="003987F5"/>
    <w:rsid w:val="003A6E8C"/>
    <w:rsid w:val="003B0BCA"/>
    <w:rsid w:val="003B5798"/>
    <w:rsid w:val="003B6353"/>
    <w:rsid w:val="003B65CB"/>
    <w:rsid w:val="003C02A5"/>
    <w:rsid w:val="003C39FF"/>
    <w:rsid w:val="003C5952"/>
    <w:rsid w:val="003D0028"/>
    <w:rsid w:val="003F1032"/>
    <w:rsid w:val="003F1D65"/>
    <w:rsid w:val="003F337B"/>
    <w:rsid w:val="00404940"/>
    <w:rsid w:val="004065F3"/>
    <w:rsid w:val="004213EA"/>
    <w:rsid w:val="00426B85"/>
    <w:rsid w:val="00437FE3"/>
    <w:rsid w:val="00447778"/>
    <w:rsid w:val="00450E1A"/>
    <w:rsid w:val="00456B93"/>
    <w:rsid w:val="004604CD"/>
    <w:rsid w:val="00472EC9"/>
    <w:rsid w:val="0047751D"/>
    <w:rsid w:val="00484CB6"/>
    <w:rsid w:val="004871E3"/>
    <w:rsid w:val="0049133F"/>
    <w:rsid w:val="004A6178"/>
    <w:rsid w:val="004B3D1B"/>
    <w:rsid w:val="004B6C4C"/>
    <w:rsid w:val="004C1826"/>
    <w:rsid w:val="004C6CD4"/>
    <w:rsid w:val="004D09F5"/>
    <w:rsid w:val="004D2E39"/>
    <w:rsid w:val="004D5666"/>
    <w:rsid w:val="004E3EAD"/>
    <w:rsid w:val="00500C31"/>
    <w:rsid w:val="005236DF"/>
    <w:rsid w:val="00526251"/>
    <w:rsid w:val="00527931"/>
    <w:rsid w:val="00527DCA"/>
    <w:rsid w:val="00530B53"/>
    <w:rsid w:val="00531D00"/>
    <w:rsid w:val="0054771E"/>
    <w:rsid w:val="00554BBE"/>
    <w:rsid w:val="005554A7"/>
    <w:rsid w:val="00557BFC"/>
    <w:rsid w:val="00557E6E"/>
    <w:rsid w:val="00561367"/>
    <w:rsid w:val="00564251"/>
    <w:rsid w:val="00593442"/>
    <w:rsid w:val="005B2080"/>
    <w:rsid w:val="005B54B4"/>
    <w:rsid w:val="005B5D66"/>
    <w:rsid w:val="005B7658"/>
    <w:rsid w:val="005D395F"/>
    <w:rsid w:val="005D65A8"/>
    <w:rsid w:val="005D7699"/>
    <w:rsid w:val="005F14F5"/>
    <w:rsid w:val="005F2BD4"/>
    <w:rsid w:val="00620E5F"/>
    <w:rsid w:val="00633DF9"/>
    <w:rsid w:val="006354B8"/>
    <w:rsid w:val="00636D11"/>
    <w:rsid w:val="006410D8"/>
    <w:rsid w:val="00641FE2"/>
    <w:rsid w:val="00647005"/>
    <w:rsid w:val="0065324F"/>
    <w:rsid w:val="006630F1"/>
    <w:rsid w:val="00671D27"/>
    <w:rsid w:val="0067278D"/>
    <w:rsid w:val="00673EAC"/>
    <w:rsid w:val="006767CC"/>
    <w:rsid w:val="00682FCA"/>
    <w:rsid w:val="00684F28"/>
    <w:rsid w:val="00687410"/>
    <w:rsid w:val="0069165A"/>
    <w:rsid w:val="006974C7"/>
    <w:rsid w:val="006A73DC"/>
    <w:rsid w:val="006B5C0D"/>
    <w:rsid w:val="006B5F1C"/>
    <w:rsid w:val="006B656B"/>
    <w:rsid w:val="006C77E5"/>
    <w:rsid w:val="006E13ED"/>
    <w:rsid w:val="006E28CB"/>
    <w:rsid w:val="006E2DE3"/>
    <w:rsid w:val="006E37EC"/>
    <w:rsid w:val="006F2086"/>
    <w:rsid w:val="0070475B"/>
    <w:rsid w:val="00706A4C"/>
    <w:rsid w:val="00710557"/>
    <w:rsid w:val="00711800"/>
    <w:rsid w:val="00711964"/>
    <w:rsid w:val="00720891"/>
    <w:rsid w:val="0072174B"/>
    <w:rsid w:val="007538B4"/>
    <w:rsid w:val="0075694B"/>
    <w:rsid w:val="00767F91"/>
    <w:rsid w:val="007743A4"/>
    <w:rsid w:val="00775307"/>
    <w:rsid w:val="007757DE"/>
    <w:rsid w:val="00790925"/>
    <w:rsid w:val="007957C0"/>
    <w:rsid w:val="007B1193"/>
    <w:rsid w:val="007B47C6"/>
    <w:rsid w:val="007C1D22"/>
    <w:rsid w:val="007C7855"/>
    <w:rsid w:val="007D5150"/>
    <w:rsid w:val="007D6F90"/>
    <w:rsid w:val="007E4E13"/>
    <w:rsid w:val="007F04E4"/>
    <w:rsid w:val="008011B9"/>
    <w:rsid w:val="00802D25"/>
    <w:rsid w:val="00804CF7"/>
    <w:rsid w:val="00806D2D"/>
    <w:rsid w:val="00812B97"/>
    <w:rsid w:val="00831FC8"/>
    <w:rsid w:val="0084351B"/>
    <w:rsid w:val="0084686C"/>
    <w:rsid w:val="0084743E"/>
    <w:rsid w:val="00851B34"/>
    <w:rsid w:val="00855B38"/>
    <w:rsid w:val="00882A67"/>
    <w:rsid w:val="0089334A"/>
    <w:rsid w:val="00896F94"/>
    <w:rsid w:val="008B0FE1"/>
    <w:rsid w:val="008B4E34"/>
    <w:rsid w:val="008D1657"/>
    <w:rsid w:val="008D4BC0"/>
    <w:rsid w:val="008E4A71"/>
    <w:rsid w:val="008F2A32"/>
    <w:rsid w:val="009003E7"/>
    <w:rsid w:val="0090097A"/>
    <w:rsid w:val="00900C98"/>
    <w:rsid w:val="0090216C"/>
    <w:rsid w:val="00902A1E"/>
    <w:rsid w:val="00906DD0"/>
    <w:rsid w:val="00912091"/>
    <w:rsid w:val="009201CA"/>
    <w:rsid w:val="00921E49"/>
    <w:rsid w:val="009237A1"/>
    <w:rsid w:val="00924EEC"/>
    <w:rsid w:val="00936D5E"/>
    <w:rsid w:val="00947F28"/>
    <w:rsid w:val="00956238"/>
    <w:rsid w:val="009642CA"/>
    <w:rsid w:val="00966A70"/>
    <w:rsid w:val="00973B76"/>
    <w:rsid w:val="009801DA"/>
    <w:rsid w:val="0098457E"/>
    <w:rsid w:val="009942AE"/>
    <w:rsid w:val="009A512D"/>
    <w:rsid w:val="009B3077"/>
    <w:rsid w:val="009B329B"/>
    <w:rsid w:val="009E1AE5"/>
    <w:rsid w:val="009E5AD9"/>
    <w:rsid w:val="009F7F4C"/>
    <w:rsid w:val="00A0472A"/>
    <w:rsid w:val="00A15611"/>
    <w:rsid w:val="00A208AA"/>
    <w:rsid w:val="00A25B60"/>
    <w:rsid w:val="00A326F5"/>
    <w:rsid w:val="00A428CC"/>
    <w:rsid w:val="00A87D96"/>
    <w:rsid w:val="00A92B9A"/>
    <w:rsid w:val="00A9614F"/>
    <w:rsid w:val="00AA554A"/>
    <w:rsid w:val="00AB7830"/>
    <w:rsid w:val="00AC1360"/>
    <w:rsid w:val="00AC6ECD"/>
    <w:rsid w:val="00AD4EE9"/>
    <w:rsid w:val="00AE1596"/>
    <w:rsid w:val="00AF0719"/>
    <w:rsid w:val="00AF316A"/>
    <w:rsid w:val="00AF6A67"/>
    <w:rsid w:val="00B03315"/>
    <w:rsid w:val="00B07FF9"/>
    <w:rsid w:val="00B13EF2"/>
    <w:rsid w:val="00B16CAC"/>
    <w:rsid w:val="00B5534A"/>
    <w:rsid w:val="00B6EC08"/>
    <w:rsid w:val="00B70CE3"/>
    <w:rsid w:val="00B73BD9"/>
    <w:rsid w:val="00B75AFB"/>
    <w:rsid w:val="00B8192F"/>
    <w:rsid w:val="00B9720D"/>
    <w:rsid w:val="00BA0A18"/>
    <w:rsid w:val="00BB0BE9"/>
    <w:rsid w:val="00BB4914"/>
    <w:rsid w:val="00BB784C"/>
    <w:rsid w:val="00BC61A4"/>
    <w:rsid w:val="00BC6B34"/>
    <w:rsid w:val="00BD4BB3"/>
    <w:rsid w:val="00BD6248"/>
    <w:rsid w:val="00BE085C"/>
    <w:rsid w:val="00BF1045"/>
    <w:rsid w:val="00BF3D4E"/>
    <w:rsid w:val="00C054B1"/>
    <w:rsid w:val="00C07285"/>
    <w:rsid w:val="00C13956"/>
    <w:rsid w:val="00C216A7"/>
    <w:rsid w:val="00C53120"/>
    <w:rsid w:val="00C60B47"/>
    <w:rsid w:val="00C63BAA"/>
    <w:rsid w:val="00C7176D"/>
    <w:rsid w:val="00C71F8E"/>
    <w:rsid w:val="00C74269"/>
    <w:rsid w:val="00C87AE0"/>
    <w:rsid w:val="00CA5F30"/>
    <w:rsid w:val="00CB4E3A"/>
    <w:rsid w:val="00CB6EEE"/>
    <w:rsid w:val="00CB78A6"/>
    <w:rsid w:val="00CC1E01"/>
    <w:rsid w:val="00D0045E"/>
    <w:rsid w:val="00D02633"/>
    <w:rsid w:val="00D1173D"/>
    <w:rsid w:val="00D14A1B"/>
    <w:rsid w:val="00D1627D"/>
    <w:rsid w:val="00D24AC9"/>
    <w:rsid w:val="00D30E54"/>
    <w:rsid w:val="00D317EA"/>
    <w:rsid w:val="00D331B5"/>
    <w:rsid w:val="00D4116E"/>
    <w:rsid w:val="00D43B98"/>
    <w:rsid w:val="00D56918"/>
    <w:rsid w:val="00D60973"/>
    <w:rsid w:val="00D62D8A"/>
    <w:rsid w:val="00D643AD"/>
    <w:rsid w:val="00D65223"/>
    <w:rsid w:val="00D672A1"/>
    <w:rsid w:val="00D678C5"/>
    <w:rsid w:val="00D73577"/>
    <w:rsid w:val="00D75701"/>
    <w:rsid w:val="00D820D5"/>
    <w:rsid w:val="00D90249"/>
    <w:rsid w:val="00DA1EF9"/>
    <w:rsid w:val="00DA6B7C"/>
    <w:rsid w:val="00DA6E07"/>
    <w:rsid w:val="00DB0397"/>
    <w:rsid w:val="00DB3E0F"/>
    <w:rsid w:val="00DB4643"/>
    <w:rsid w:val="00DB70BF"/>
    <w:rsid w:val="00DC0370"/>
    <w:rsid w:val="00DC44E9"/>
    <w:rsid w:val="00DD325B"/>
    <w:rsid w:val="00DD37F6"/>
    <w:rsid w:val="00DD6406"/>
    <w:rsid w:val="00DD7EBC"/>
    <w:rsid w:val="00DF369E"/>
    <w:rsid w:val="00E03B5D"/>
    <w:rsid w:val="00E2148E"/>
    <w:rsid w:val="00E354C6"/>
    <w:rsid w:val="00E3739C"/>
    <w:rsid w:val="00E47A2D"/>
    <w:rsid w:val="00E54A44"/>
    <w:rsid w:val="00E56B50"/>
    <w:rsid w:val="00E6147A"/>
    <w:rsid w:val="00E66271"/>
    <w:rsid w:val="00E672B2"/>
    <w:rsid w:val="00E73F6A"/>
    <w:rsid w:val="00E8344A"/>
    <w:rsid w:val="00E87132"/>
    <w:rsid w:val="00E97247"/>
    <w:rsid w:val="00EA2031"/>
    <w:rsid w:val="00ED7C9F"/>
    <w:rsid w:val="00EE5049"/>
    <w:rsid w:val="00EF3CD5"/>
    <w:rsid w:val="00F0414F"/>
    <w:rsid w:val="00F069E2"/>
    <w:rsid w:val="00F07F0E"/>
    <w:rsid w:val="00F104C8"/>
    <w:rsid w:val="00F24288"/>
    <w:rsid w:val="00F24327"/>
    <w:rsid w:val="00F314DB"/>
    <w:rsid w:val="00F56B23"/>
    <w:rsid w:val="00F61F0D"/>
    <w:rsid w:val="00F671FD"/>
    <w:rsid w:val="00F67F95"/>
    <w:rsid w:val="00F81FC4"/>
    <w:rsid w:val="00F92C2A"/>
    <w:rsid w:val="00FA1AF1"/>
    <w:rsid w:val="00FA6320"/>
    <w:rsid w:val="00FB17E6"/>
    <w:rsid w:val="00FB30FE"/>
    <w:rsid w:val="00FB6ED4"/>
    <w:rsid w:val="00FD166B"/>
    <w:rsid w:val="00FE5E51"/>
    <w:rsid w:val="00FE6159"/>
    <w:rsid w:val="00FF5FF3"/>
    <w:rsid w:val="02162DE1"/>
    <w:rsid w:val="027F26EA"/>
    <w:rsid w:val="032EBA29"/>
    <w:rsid w:val="0429CC0D"/>
    <w:rsid w:val="046CDF1E"/>
    <w:rsid w:val="05904EAB"/>
    <w:rsid w:val="0668A835"/>
    <w:rsid w:val="06EB4805"/>
    <w:rsid w:val="074B1A26"/>
    <w:rsid w:val="08B415DB"/>
    <w:rsid w:val="093BC7F0"/>
    <w:rsid w:val="099F2BB2"/>
    <w:rsid w:val="09BA8453"/>
    <w:rsid w:val="09F3B60B"/>
    <w:rsid w:val="0B807409"/>
    <w:rsid w:val="0BED240E"/>
    <w:rsid w:val="0C8D6D01"/>
    <w:rsid w:val="0E5FC459"/>
    <w:rsid w:val="1027E7E9"/>
    <w:rsid w:val="10AEFE44"/>
    <w:rsid w:val="11450EE8"/>
    <w:rsid w:val="11F02196"/>
    <w:rsid w:val="127D2DBD"/>
    <w:rsid w:val="12FD7FAC"/>
    <w:rsid w:val="141B67DC"/>
    <w:rsid w:val="14A08EF2"/>
    <w:rsid w:val="14CCFCB0"/>
    <w:rsid w:val="15292FB8"/>
    <w:rsid w:val="15662429"/>
    <w:rsid w:val="1653F70C"/>
    <w:rsid w:val="166E6B24"/>
    <w:rsid w:val="170D2D1E"/>
    <w:rsid w:val="171A158F"/>
    <w:rsid w:val="1758CEFA"/>
    <w:rsid w:val="175BE061"/>
    <w:rsid w:val="18C31FB3"/>
    <w:rsid w:val="19EE96CF"/>
    <w:rsid w:val="19F7940B"/>
    <w:rsid w:val="1ABFB3D5"/>
    <w:rsid w:val="1C55F4DC"/>
    <w:rsid w:val="1CFC08D4"/>
    <w:rsid w:val="1D7AD8CC"/>
    <w:rsid w:val="1D96EE9C"/>
    <w:rsid w:val="1E14CF2D"/>
    <w:rsid w:val="1EAA0F4A"/>
    <w:rsid w:val="1F9CA015"/>
    <w:rsid w:val="2022D3D6"/>
    <w:rsid w:val="20FFD9FA"/>
    <w:rsid w:val="227EF9C6"/>
    <w:rsid w:val="239AC31F"/>
    <w:rsid w:val="23BE666B"/>
    <w:rsid w:val="2456B115"/>
    <w:rsid w:val="251EF5CE"/>
    <w:rsid w:val="2574DE7F"/>
    <w:rsid w:val="272A9EFD"/>
    <w:rsid w:val="27DC094F"/>
    <w:rsid w:val="282F8DD4"/>
    <w:rsid w:val="2AE307F3"/>
    <w:rsid w:val="2D5A25CF"/>
    <w:rsid w:val="2DEC9478"/>
    <w:rsid w:val="2DFDADE3"/>
    <w:rsid w:val="2E4B2905"/>
    <w:rsid w:val="2E56DED9"/>
    <w:rsid w:val="2ED67837"/>
    <w:rsid w:val="2EE1AE55"/>
    <w:rsid w:val="2F6697CF"/>
    <w:rsid w:val="2F8065FC"/>
    <w:rsid w:val="2F9236E4"/>
    <w:rsid w:val="3158C6AC"/>
    <w:rsid w:val="3176F75B"/>
    <w:rsid w:val="31AB860D"/>
    <w:rsid w:val="31C23170"/>
    <w:rsid w:val="31E0466B"/>
    <w:rsid w:val="323B8AC4"/>
    <w:rsid w:val="324A4EB8"/>
    <w:rsid w:val="330849A1"/>
    <w:rsid w:val="33556884"/>
    <w:rsid w:val="33830188"/>
    <w:rsid w:val="35CD93B3"/>
    <w:rsid w:val="35D58817"/>
    <w:rsid w:val="375E420E"/>
    <w:rsid w:val="379C4B58"/>
    <w:rsid w:val="37EBC8BF"/>
    <w:rsid w:val="386414C0"/>
    <w:rsid w:val="3949ED2E"/>
    <w:rsid w:val="3A1B7845"/>
    <w:rsid w:val="3A535CDE"/>
    <w:rsid w:val="3A682F1B"/>
    <w:rsid w:val="3B007D7C"/>
    <w:rsid w:val="3BD85E41"/>
    <w:rsid w:val="3C10195D"/>
    <w:rsid w:val="3D3F94B5"/>
    <w:rsid w:val="3D73DBBC"/>
    <w:rsid w:val="3E663922"/>
    <w:rsid w:val="3E71680A"/>
    <w:rsid w:val="3E78D24A"/>
    <w:rsid w:val="40020CD2"/>
    <w:rsid w:val="412A2DD5"/>
    <w:rsid w:val="420CB37E"/>
    <w:rsid w:val="420F1A99"/>
    <w:rsid w:val="435B193D"/>
    <w:rsid w:val="44DB6C7A"/>
    <w:rsid w:val="4515E08D"/>
    <w:rsid w:val="454FD61C"/>
    <w:rsid w:val="45A5EC78"/>
    <w:rsid w:val="45CDE886"/>
    <w:rsid w:val="45CFFD45"/>
    <w:rsid w:val="45DFE516"/>
    <w:rsid w:val="46FD39AE"/>
    <w:rsid w:val="477865F4"/>
    <w:rsid w:val="477A49B1"/>
    <w:rsid w:val="477BA2F0"/>
    <w:rsid w:val="47FABCFF"/>
    <w:rsid w:val="48111953"/>
    <w:rsid w:val="487CA285"/>
    <w:rsid w:val="48ED6402"/>
    <w:rsid w:val="494B62C5"/>
    <w:rsid w:val="4AF1AB11"/>
    <w:rsid w:val="4B96C155"/>
    <w:rsid w:val="4BB2AB04"/>
    <w:rsid w:val="4BC67991"/>
    <w:rsid w:val="4C73C86E"/>
    <w:rsid w:val="4C98B18C"/>
    <w:rsid w:val="4FB56428"/>
    <w:rsid w:val="4FE70DB2"/>
    <w:rsid w:val="4FF959C0"/>
    <w:rsid w:val="5029633A"/>
    <w:rsid w:val="50B1EDA4"/>
    <w:rsid w:val="5168001C"/>
    <w:rsid w:val="526B8B1B"/>
    <w:rsid w:val="52EBBF8C"/>
    <w:rsid w:val="530C5D2D"/>
    <w:rsid w:val="533514EB"/>
    <w:rsid w:val="53912E8B"/>
    <w:rsid w:val="53FDA3C6"/>
    <w:rsid w:val="542113E5"/>
    <w:rsid w:val="54D7E36B"/>
    <w:rsid w:val="55379535"/>
    <w:rsid w:val="5635ECC2"/>
    <w:rsid w:val="5646A55A"/>
    <w:rsid w:val="56944612"/>
    <w:rsid w:val="56C393F5"/>
    <w:rsid w:val="58CB9B8A"/>
    <w:rsid w:val="59444FCC"/>
    <w:rsid w:val="597FB025"/>
    <w:rsid w:val="59874298"/>
    <w:rsid w:val="59B93835"/>
    <w:rsid w:val="5A18BE87"/>
    <w:rsid w:val="5AA8C68F"/>
    <w:rsid w:val="5ACF6F9C"/>
    <w:rsid w:val="5B2A7CFF"/>
    <w:rsid w:val="5BE42EE1"/>
    <w:rsid w:val="5BF13B4E"/>
    <w:rsid w:val="5BFF4A51"/>
    <w:rsid w:val="5C156C4C"/>
    <w:rsid w:val="5C5C4FCB"/>
    <w:rsid w:val="5D4CF492"/>
    <w:rsid w:val="5E19153A"/>
    <w:rsid w:val="5FEC348B"/>
    <w:rsid w:val="60B9A911"/>
    <w:rsid w:val="61956F92"/>
    <w:rsid w:val="61BE4E42"/>
    <w:rsid w:val="6363A23E"/>
    <w:rsid w:val="645783F9"/>
    <w:rsid w:val="65666AB6"/>
    <w:rsid w:val="6623E135"/>
    <w:rsid w:val="6674A6AC"/>
    <w:rsid w:val="667AE5A3"/>
    <w:rsid w:val="6760D809"/>
    <w:rsid w:val="680CB2F4"/>
    <w:rsid w:val="69814191"/>
    <w:rsid w:val="6B749399"/>
    <w:rsid w:val="6BA756A8"/>
    <w:rsid w:val="6C1636D3"/>
    <w:rsid w:val="6C770C1B"/>
    <w:rsid w:val="6DE78E67"/>
    <w:rsid w:val="6F8CA1B8"/>
    <w:rsid w:val="70552062"/>
    <w:rsid w:val="70CF3924"/>
    <w:rsid w:val="711051F8"/>
    <w:rsid w:val="71481879"/>
    <w:rsid w:val="71839F6D"/>
    <w:rsid w:val="718B0796"/>
    <w:rsid w:val="718E9A56"/>
    <w:rsid w:val="7213D1B2"/>
    <w:rsid w:val="729CB2C4"/>
    <w:rsid w:val="72EEF516"/>
    <w:rsid w:val="7427FCB3"/>
    <w:rsid w:val="752DE493"/>
    <w:rsid w:val="75750DA5"/>
    <w:rsid w:val="75B6B0D5"/>
    <w:rsid w:val="75CF11AF"/>
    <w:rsid w:val="762103FD"/>
    <w:rsid w:val="7625E9E9"/>
    <w:rsid w:val="7750C761"/>
    <w:rsid w:val="77841BE5"/>
    <w:rsid w:val="78233819"/>
    <w:rsid w:val="78B9A8F7"/>
    <w:rsid w:val="78C4F674"/>
    <w:rsid w:val="79ED39D7"/>
    <w:rsid w:val="7A2567B5"/>
    <w:rsid w:val="7B335FEB"/>
    <w:rsid w:val="7B4BA3F1"/>
    <w:rsid w:val="7B5E96E7"/>
    <w:rsid w:val="7BB65446"/>
    <w:rsid w:val="7BD22BDB"/>
    <w:rsid w:val="7C535F1A"/>
    <w:rsid w:val="7D210176"/>
    <w:rsid w:val="7DC99B63"/>
    <w:rsid w:val="7DFB1005"/>
    <w:rsid w:val="7E169FB2"/>
    <w:rsid w:val="7EE30A58"/>
    <w:rsid w:val="7F7FBA3E"/>
    <w:rsid w:val="7FB9685F"/>
    <w:rsid w:val="7FE0A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91C5D"/>
  <w15:chartTrackingRefBased/>
  <w15:docId w15:val="{B5AD1BA5-D85A-469D-B9BE-EB8273D1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E4A71"/>
    <w:pPr>
      <w:keepNext/>
      <w:spacing w:after="0" w:line="240" w:lineRule="auto"/>
      <w:outlineLvl w:val="1"/>
    </w:pPr>
    <w:rPr>
      <w:rFonts w:ascii="Arial" w:eastAsia="Times New Roman" w:hAnsi="Arial" w:cs="Times New Roman"/>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4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E4A71"/>
    <w:rPr>
      <w:rFonts w:ascii="Arial" w:eastAsia="Times New Roman" w:hAnsi="Arial" w:cs="Times New Roman"/>
      <w:sz w:val="28"/>
      <w:szCs w:val="20"/>
      <w:lang w:val="en-US" w:eastAsia="en-GB"/>
    </w:rPr>
  </w:style>
  <w:style w:type="paragraph" w:styleId="BodyText">
    <w:name w:val="Body Text"/>
    <w:basedOn w:val="Normal"/>
    <w:link w:val="BodyTextChar"/>
    <w:rsid w:val="008E4A71"/>
    <w:pPr>
      <w:spacing w:after="0" w:line="240" w:lineRule="auto"/>
    </w:pPr>
    <w:rPr>
      <w:rFonts w:ascii="Arial" w:eastAsia="Times New Roman" w:hAnsi="Arial" w:cs="Times New Roman"/>
      <w:sz w:val="28"/>
      <w:szCs w:val="20"/>
      <w:lang w:val="en-US" w:eastAsia="en-GB"/>
    </w:rPr>
  </w:style>
  <w:style w:type="character" w:customStyle="1" w:styleId="BodyTextChar">
    <w:name w:val="Body Text Char"/>
    <w:basedOn w:val="DefaultParagraphFont"/>
    <w:link w:val="BodyText"/>
    <w:rsid w:val="008E4A71"/>
    <w:rPr>
      <w:rFonts w:ascii="Arial" w:eastAsia="Times New Roman" w:hAnsi="Arial" w:cs="Times New Roman"/>
      <w:sz w:val="28"/>
      <w:szCs w:val="20"/>
      <w:lang w:val="en-US" w:eastAsia="en-GB"/>
    </w:rPr>
  </w:style>
  <w:style w:type="paragraph" w:styleId="Footer">
    <w:name w:val="footer"/>
    <w:basedOn w:val="Normal"/>
    <w:link w:val="FooterChar"/>
    <w:uiPriority w:val="99"/>
    <w:unhideWhenUsed/>
    <w:rsid w:val="00E21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8E"/>
  </w:style>
  <w:style w:type="character" w:styleId="CommentReference">
    <w:name w:val="annotation reference"/>
    <w:basedOn w:val="DefaultParagraphFont"/>
    <w:uiPriority w:val="99"/>
    <w:semiHidden/>
    <w:unhideWhenUsed/>
    <w:rsid w:val="00E2148E"/>
    <w:rPr>
      <w:sz w:val="16"/>
      <w:szCs w:val="16"/>
    </w:rPr>
  </w:style>
  <w:style w:type="paragraph" w:styleId="CommentText">
    <w:name w:val="annotation text"/>
    <w:basedOn w:val="Normal"/>
    <w:link w:val="CommentTextChar"/>
    <w:uiPriority w:val="99"/>
    <w:unhideWhenUsed/>
    <w:rsid w:val="00E2148E"/>
    <w:pPr>
      <w:spacing w:after="200" w:line="240" w:lineRule="auto"/>
    </w:pPr>
    <w:rPr>
      <w:sz w:val="20"/>
      <w:szCs w:val="20"/>
    </w:rPr>
  </w:style>
  <w:style w:type="character" w:customStyle="1" w:styleId="CommentTextChar">
    <w:name w:val="Comment Text Char"/>
    <w:basedOn w:val="DefaultParagraphFont"/>
    <w:link w:val="CommentText"/>
    <w:uiPriority w:val="99"/>
    <w:rsid w:val="00E2148E"/>
    <w:rPr>
      <w:sz w:val="20"/>
      <w:szCs w:val="20"/>
    </w:rPr>
  </w:style>
  <w:style w:type="paragraph" w:customStyle="1" w:styleId="PKFNormalNumbered">
    <w:name w:val="PKF Normal Numbered"/>
    <w:basedOn w:val="Normal"/>
    <w:link w:val="PKFNormalNumberedChar"/>
    <w:rsid w:val="00E2148E"/>
    <w:pPr>
      <w:numPr>
        <w:ilvl w:val="1"/>
        <w:numId w:val="1"/>
      </w:numPr>
      <w:tabs>
        <w:tab w:val="left" w:pos="1701"/>
        <w:tab w:val="left" w:pos="2552"/>
        <w:tab w:val="left" w:pos="3402"/>
        <w:tab w:val="left" w:pos="4253"/>
        <w:tab w:val="left" w:pos="5103"/>
        <w:tab w:val="left" w:pos="5954"/>
        <w:tab w:val="left" w:pos="6804"/>
      </w:tabs>
      <w:spacing w:after="180" w:line="360" w:lineRule="auto"/>
      <w:jc w:val="both"/>
    </w:pPr>
    <w:rPr>
      <w:rFonts w:ascii="Arial" w:eastAsia="Times New Roman" w:hAnsi="Arial" w:cs="Times New Roman"/>
      <w:sz w:val="20"/>
      <w:szCs w:val="20"/>
      <w:lang w:eastAsia="en-GB"/>
    </w:rPr>
  </w:style>
  <w:style w:type="paragraph" w:customStyle="1" w:styleId="PKFHeading1Numbered">
    <w:name w:val="PKF Heading 1 Numbered"/>
    <w:basedOn w:val="Normal"/>
    <w:next w:val="PKFNormalNumbered"/>
    <w:rsid w:val="00E2148E"/>
    <w:pPr>
      <w:keepNext/>
      <w:numPr>
        <w:numId w:val="1"/>
      </w:numPr>
      <w:spacing w:before="240" w:after="240" w:line="240" w:lineRule="auto"/>
      <w:outlineLvl w:val="0"/>
    </w:pPr>
    <w:rPr>
      <w:rFonts w:ascii="Arial" w:eastAsia="Times New Roman" w:hAnsi="Arial" w:cs="Arial"/>
      <w:b/>
      <w:bCs/>
      <w:color w:val="0E2B8D"/>
      <w:kern w:val="32"/>
      <w:sz w:val="36"/>
      <w:szCs w:val="36"/>
      <w:lang w:eastAsia="en-GB"/>
    </w:rPr>
  </w:style>
  <w:style w:type="character" w:customStyle="1" w:styleId="PKFNormalNumberedChar">
    <w:name w:val="PKF Normal Numbered Char"/>
    <w:link w:val="PKFNormalNumbered"/>
    <w:locked/>
    <w:rsid w:val="00E2148E"/>
    <w:rPr>
      <w:rFonts w:ascii="Arial" w:eastAsia="Times New Roman" w:hAnsi="Arial" w:cs="Times New Roman"/>
      <w:sz w:val="20"/>
      <w:szCs w:val="20"/>
      <w:lang w:eastAsia="en-GB"/>
    </w:rPr>
  </w:style>
  <w:style w:type="paragraph" w:styleId="ListParagraph">
    <w:name w:val="List Paragraph"/>
    <w:basedOn w:val="Normal"/>
    <w:uiPriority w:val="34"/>
    <w:qFormat/>
    <w:rsid w:val="00E2148E"/>
    <w:pPr>
      <w:spacing w:after="200" w:line="276" w:lineRule="auto"/>
      <w:ind w:left="720"/>
      <w:contextualSpacing/>
    </w:pPr>
  </w:style>
  <w:style w:type="paragraph" w:styleId="BalloonText">
    <w:name w:val="Balloon Text"/>
    <w:basedOn w:val="Normal"/>
    <w:link w:val="BalloonTextChar"/>
    <w:uiPriority w:val="99"/>
    <w:semiHidden/>
    <w:unhideWhenUsed/>
    <w:rsid w:val="00E2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48E"/>
    <w:rPr>
      <w:rFonts w:ascii="Segoe UI" w:hAnsi="Segoe UI" w:cs="Segoe UI"/>
      <w:sz w:val="18"/>
      <w:szCs w:val="18"/>
    </w:rPr>
  </w:style>
  <w:style w:type="paragraph" w:styleId="EndnoteText">
    <w:name w:val="endnote text"/>
    <w:basedOn w:val="Normal"/>
    <w:link w:val="EndnoteTextChar"/>
    <w:uiPriority w:val="99"/>
    <w:semiHidden/>
    <w:unhideWhenUsed/>
    <w:rsid w:val="00F671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71FD"/>
    <w:rPr>
      <w:sz w:val="20"/>
      <w:szCs w:val="20"/>
    </w:rPr>
  </w:style>
  <w:style w:type="character" w:styleId="EndnoteReference">
    <w:name w:val="endnote reference"/>
    <w:basedOn w:val="DefaultParagraphFont"/>
    <w:uiPriority w:val="99"/>
    <w:semiHidden/>
    <w:unhideWhenUsed/>
    <w:rsid w:val="00F671FD"/>
    <w:rPr>
      <w:vertAlign w:val="superscript"/>
    </w:rPr>
  </w:style>
  <w:style w:type="paragraph" w:styleId="Header">
    <w:name w:val="header"/>
    <w:basedOn w:val="Normal"/>
    <w:link w:val="HeaderChar"/>
    <w:uiPriority w:val="99"/>
    <w:unhideWhenUsed/>
    <w:rsid w:val="00F67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1FD"/>
  </w:style>
  <w:style w:type="paragraph" w:styleId="FootnoteText">
    <w:name w:val="footnote text"/>
    <w:basedOn w:val="Normal"/>
    <w:link w:val="FootnoteTextChar"/>
    <w:uiPriority w:val="99"/>
    <w:semiHidden/>
    <w:unhideWhenUsed/>
    <w:rsid w:val="00F671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1FD"/>
    <w:rPr>
      <w:sz w:val="20"/>
      <w:szCs w:val="20"/>
    </w:rPr>
  </w:style>
  <w:style w:type="character" w:styleId="FootnoteReference">
    <w:name w:val="footnote reference"/>
    <w:basedOn w:val="DefaultParagraphFont"/>
    <w:uiPriority w:val="99"/>
    <w:semiHidden/>
    <w:unhideWhenUsed/>
    <w:rsid w:val="00F671FD"/>
    <w:rPr>
      <w:vertAlign w:val="superscript"/>
    </w:rPr>
  </w:style>
  <w:style w:type="paragraph" w:styleId="CommentSubject">
    <w:name w:val="annotation subject"/>
    <w:basedOn w:val="CommentText"/>
    <w:next w:val="CommentText"/>
    <w:link w:val="CommentSubjectChar"/>
    <w:uiPriority w:val="99"/>
    <w:semiHidden/>
    <w:unhideWhenUsed/>
    <w:rsid w:val="002546AF"/>
    <w:pPr>
      <w:spacing w:after="160"/>
    </w:pPr>
    <w:rPr>
      <w:b/>
      <w:bCs/>
    </w:rPr>
  </w:style>
  <w:style w:type="character" w:customStyle="1" w:styleId="CommentSubjectChar">
    <w:name w:val="Comment Subject Char"/>
    <w:basedOn w:val="CommentTextChar"/>
    <w:link w:val="CommentSubject"/>
    <w:uiPriority w:val="99"/>
    <w:semiHidden/>
    <w:rsid w:val="002546AF"/>
    <w:rPr>
      <w:b/>
      <w:bCs/>
      <w:sz w:val="20"/>
      <w:szCs w:val="20"/>
    </w:rPr>
  </w:style>
  <w:style w:type="paragraph" w:customStyle="1" w:styleId="Default">
    <w:name w:val="Default"/>
    <w:rsid w:val="006B5F1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742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66D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00966d-7a5d-4701-ad77-5e6507c180db">
      <Terms xmlns="http://schemas.microsoft.com/office/infopath/2007/PartnerControls"/>
    </lcf76f155ced4ddcb4097134ff3c332f>
    <TaxCatchAll xmlns="3a792cab-d85c-419f-b3e5-52fa0d3916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0F72063C3A81459E543CBF8049F650" ma:contentTypeVersion="11" ma:contentTypeDescription="Create a new document." ma:contentTypeScope="" ma:versionID="7b4684fe4a240559e4ddcbaf811d1ddd">
  <xsd:schema xmlns:xsd="http://www.w3.org/2001/XMLSchema" xmlns:xs="http://www.w3.org/2001/XMLSchema" xmlns:p="http://schemas.microsoft.com/office/2006/metadata/properties" xmlns:ns2="c000966d-7a5d-4701-ad77-5e6507c180db" xmlns:ns3="3a792cab-d85c-419f-b3e5-52fa0d3916cd" targetNamespace="http://schemas.microsoft.com/office/2006/metadata/properties" ma:root="true" ma:fieldsID="2e2954bd5cb86b1be29cd57b2ded56c1" ns2:_="" ns3:_="">
    <xsd:import namespace="c000966d-7a5d-4701-ad77-5e6507c180db"/>
    <xsd:import namespace="3a792cab-d85c-419f-b3e5-52fa0d3916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0966d-7a5d-4701-ad77-5e6507c18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92cab-d85c-419f-b3e5-52fa0d3916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03421b-9940-41bf-b4ca-5b1c799d6a9e}" ma:internalName="TaxCatchAll" ma:showField="CatchAllData" ma:web="3a792cab-d85c-419f-b3e5-52fa0d391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A6353-372B-44F1-B0DE-851FB30D6C68}">
  <ds:schemaRefs>
    <ds:schemaRef ds:uri="http://schemas.microsoft.com/office/2006/metadata/properties"/>
    <ds:schemaRef ds:uri="http://schemas.microsoft.com/office/infopath/2007/PartnerControls"/>
    <ds:schemaRef ds:uri="c000966d-7a5d-4701-ad77-5e6507c180db"/>
    <ds:schemaRef ds:uri="3a792cab-d85c-419f-b3e5-52fa0d3916cd"/>
  </ds:schemaRefs>
</ds:datastoreItem>
</file>

<file path=customXml/itemProps2.xml><?xml version="1.0" encoding="utf-8"?>
<ds:datastoreItem xmlns:ds="http://schemas.openxmlformats.org/officeDocument/2006/customXml" ds:itemID="{B08F7652-C9FD-4734-9BA3-5047D4D6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0966d-7a5d-4701-ad77-5e6507c180db"/>
    <ds:schemaRef ds:uri="3a792cab-d85c-419f-b3e5-52fa0d391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1F8CA-4CAD-407F-93DC-FEDA6246FDF7}">
  <ds:schemaRefs>
    <ds:schemaRef ds:uri="http://schemas.microsoft.com/sharepoint/v3/contenttype/forms"/>
  </ds:schemaRefs>
</ds:datastoreItem>
</file>

<file path=customXml/itemProps4.xml><?xml version="1.0" encoding="utf-8"?>
<ds:datastoreItem xmlns:ds="http://schemas.openxmlformats.org/officeDocument/2006/customXml" ds:itemID="{BD5C0C81-BFC5-46AD-BAF3-C96B95F7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6417</Words>
  <Characters>36581</Characters>
  <Application>Microsoft Office Word</Application>
  <DocSecurity>0</DocSecurity>
  <Lines>304</Lines>
  <Paragraphs>85</Paragraphs>
  <ScaleCrop>false</ScaleCrop>
  <Company/>
  <LinksUpToDate>false</LinksUpToDate>
  <CharactersWithSpaces>42913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Counsell-Hubbard</dc:creator>
  <cp:keywords/>
  <dc:description/>
  <cp:lastModifiedBy>Toni Wood</cp:lastModifiedBy>
  <cp:revision>2</cp:revision>
  <cp:lastPrinted>2025-01-22T19:15:00Z</cp:lastPrinted>
  <dcterms:created xsi:type="dcterms:W3CDTF">2025-10-06T08:08:00Z</dcterms:created>
  <dcterms:modified xsi:type="dcterms:W3CDTF">2025-10-06T08:08:00Z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0x010100A50F72063C3A81459E543CBF8049F650</vt:lpwstr>
  </property>
  <property fmtid="{D5CDD505-2E9C-101B-9397-08002B2CF9AE}" pid="3" name="MediaServiceImageTags">
    <vt:lpwstr/>
  </property>
</Properties>
</file>