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9501" w14:textId="17F661B6" w:rsidR="007454DE" w:rsidRPr="00044A9E" w:rsidRDefault="00711964">
      <w:pPr>
        <w:rPr>
          <w:rFonts w:ascii="Arial" w:hAnsi="Arial" w:cs="Arial"/>
        </w:rPr>
      </w:pPr>
      <w:r w:rsidRPr="00044A9E">
        <w:rPr>
          <w:rFonts w:ascii="Arial" w:hAnsi="Arial" w:cs="Arial"/>
          <w:noProof/>
        </w:rPr>
        <w:drawing>
          <wp:inline distT="0" distB="0" distL="0" distR="0" wp14:anchorId="620F4414" wp14:editId="7EB39F9C">
            <wp:extent cx="1613535" cy="120015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3535" cy="1200150"/>
                    </a:xfrm>
                    <a:prstGeom prst="rect">
                      <a:avLst/>
                    </a:prstGeom>
                    <a:noFill/>
                    <a:ln>
                      <a:noFill/>
                    </a:ln>
                  </pic:spPr>
                </pic:pic>
              </a:graphicData>
            </a:graphic>
          </wp:inline>
        </w:drawing>
      </w:r>
    </w:p>
    <w:p w14:paraId="598D2D0A" w14:textId="77777777" w:rsidR="00790925" w:rsidRPr="00044A9E" w:rsidRDefault="00790925">
      <w:pPr>
        <w:rPr>
          <w:rFonts w:ascii="Arial" w:hAnsi="Arial" w:cs="Arial"/>
        </w:rPr>
      </w:pPr>
    </w:p>
    <w:p w14:paraId="2F635EA5" w14:textId="77777777" w:rsidR="00D672A1" w:rsidRPr="00044A9E" w:rsidRDefault="00D672A1" w:rsidP="00A25B60">
      <w:pPr>
        <w:spacing w:after="0"/>
        <w:rPr>
          <w:rFonts w:ascii="Arial" w:hAnsi="Arial" w:cs="Arial"/>
          <w:b/>
          <w:color w:val="1F3864" w:themeColor="accent1" w:themeShade="80"/>
          <w:sz w:val="40"/>
        </w:rPr>
      </w:pPr>
    </w:p>
    <w:p w14:paraId="124711E4" w14:textId="755A9718" w:rsidR="00A25B60" w:rsidRPr="00044A9E" w:rsidRDefault="00790925" w:rsidP="00A25B60">
      <w:pPr>
        <w:spacing w:after="0"/>
        <w:rPr>
          <w:rFonts w:ascii="Arial" w:hAnsi="Arial" w:cs="Arial"/>
          <w:b/>
          <w:color w:val="1F3864" w:themeColor="accent1" w:themeShade="80"/>
          <w:sz w:val="40"/>
        </w:rPr>
      </w:pPr>
      <w:r w:rsidRPr="00044A9E">
        <w:rPr>
          <w:rFonts w:ascii="Arial" w:hAnsi="Arial" w:cs="Arial"/>
          <w:b/>
          <w:color w:val="1F3864" w:themeColor="accent1" w:themeShade="80"/>
          <w:sz w:val="40"/>
        </w:rPr>
        <w:t>Education Quality Assurance Inspection Report</w:t>
      </w:r>
    </w:p>
    <w:p w14:paraId="37D9CF8B" w14:textId="41308D1F" w:rsidR="00A25B60" w:rsidRPr="00044A9E" w:rsidRDefault="00A25B60" w:rsidP="00A25B60">
      <w:pPr>
        <w:spacing w:after="0"/>
        <w:rPr>
          <w:rFonts w:ascii="Arial" w:hAnsi="Arial" w:cs="Arial"/>
          <w:b/>
          <w:color w:val="1F3864" w:themeColor="accent1" w:themeShade="80"/>
          <w:sz w:val="40"/>
        </w:rPr>
      </w:pPr>
    </w:p>
    <w:p w14:paraId="7EA2C1D7" w14:textId="77777777" w:rsidR="00711964" w:rsidRPr="00044A9E" w:rsidRDefault="00711964" w:rsidP="00A25B60">
      <w:pPr>
        <w:spacing w:after="0"/>
        <w:rPr>
          <w:rFonts w:ascii="Arial" w:hAnsi="Arial" w:cs="Arial"/>
          <w:b/>
          <w:color w:val="1F3864" w:themeColor="accent1" w:themeShade="80"/>
          <w:sz w:val="40"/>
        </w:rPr>
      </w:pPr>
    </w:p>
    <w:tbl>
      <w:tblPr>
        <w:tblStyle w:val="TableGrid"/>
        <w:tblW w:w="9067" w:type="dxa"/>
        <w:tblLook w:val="04A0" w:firstRow="1" w:lastRow="0" w:firstColumn="1" w:lastColumn="0" w:noHBand="0" w:noVBand="1"/>
      </w:tblPr>
      <w:tblGrid>
        <w:gridCol w:w="4390"/>
        <w:gridCol w:w="4677"/>
      </w:tblGrid>
      <w:tr w:rsidR="000A6A8E" w:rsidRPr="00044A9E" w14:paraId="0B2FE623" w14:textId="77777777" w:rsidTr="000A6A8E">
        <w:tc>
          <w:tcPr>
            <w:tcW w:w="4390" w:type="dxa"/>
            <w:shd w:val="clear" w:color="auto" w:fill="1F3864" w:themeFill="accent1" w:themeFillShade="80"/>
          </w:tcPr>
          <w:p w14:paraId="154D96B0" w14:textId="213FFF13" w:rsidR="000A6A8E" w:rsidRPr="00044A9E" w:rsidRDefault="000A6A8E">
            <w:pPr>
              <w:rPr>
                <w:rFonts w:ascii="Arial" w:hAnsi="Arial" w:cs="Arial"/>
                <w:color w:val="FFFFFF" w:themeColor="background1"/>
                <w:sz w:val="28"/>
              </w:rPr>
            </w:pPr>
            <w:r w:rsidRPr="00044A9E">
              <w:rPr>
                <w:rFonts w:ascii="Arial" w:hAnsi="Arial" w:cs="Arial"/>
                <w:color w:val="FFFFFF" w:themeColor="background1"/>
                <w:sz w:val="28"/>
              </w:rPr>
              <w:t xml:space="preserve">Education Provider/Awarding Body </w:t>
            </w:r>
          </w:p>
        </w:tc>
        <w:tc>
          <w:tcPr>
            <w:tcW w:w="4677" w:type="dxa"/>
            <w:shd w:val="clear" w:color="auto" w:fill="1F3864" w:themeFill="accent1" w:themeFillShade="80"/>
          </w:tcPr>
          <w:p w14:paraId="5C9A978E" w14:textId="1B0CFB01" w:rsidR="000A6A8E" w:rsidRPr="00044A9E" w:rsidRDefault="000A6A8E">
            <w:pPr>
              <w:rPr>
                <w:rFonts w:ascii="Arial" w:hAnsi="Arial" w:cs="Arial"/>
                <w:color w:val="FFFFFF" w:themeColor="background1"/>
                <w:sz w:val="28"/>
              </w:rPr>
            </w:pPr>
            <w:r w:rsidRPr="00044A9E">
              <w:rPr>
                <w:rFonts w:ascii="Arial" w:hAnsi="Arial" w:cs="Arial"/>
                <w:color w:val="FFFFFF" w:themeColor="background1"/>
                <w:sz w:val="28"/>
              </w:rPr>
              <w:t>Programme/Award</w:t>
            </w:r>
          </w:p>
        </w:tc>
      </w:tr>
      <w:tr w:rsidR="000A6A8E" w:rsidRPr="00044A9E" w14:paraId="3DC8E843" w14:textId="77777777" w:rsidTr="000A6A8E">
        <w:tc>
          <w:tcPr>
            <w:tcW w:w="4390" w:type="dxa"/>
          </w:tcPr>
          <w:p w14:paraId="479C934C" w14:textId="3E52928A" w:rsidR="000A6A8E" w:rsidRPr="00044A9E" w:rsidRDefault="00044A9E">
            <w:pPr>
              <w:rPr>
                <w:rFonts w:ascii="Arial" w:hAnsi="Arial" w:cs="Arial"/>
                <w:color w:val="1F3864" w:themeColor="accent1" w:themeShade="80"/>
                <w:sz w:val="28"/>
              </w:rPr>
            </w:pPr>
            <w:r>
              <w:rPr>
                <w:rFonts w:ascii="Arial" w:hAnsi="Arial" w:cs="Arial"/>
                <w:color w:val="1F3864" w:themeColor="accent1" w:themeShade="80"/>
                <w:sz w:val="28"/>
              </w:rPr>
              <w:t>University of Liverpool</w:t>
            </w:r>
          </w:p>
        </w:tc>
        <w:tc>
          <w:tcPr>
            <w:tcW w:w="4677" w:type="dxa"/>
          </w:tcPr>
          <w:p w14:paraId="5CCBA87E" w14:textId="47515E9D" w:rsidR="000A6A8E" w:rsidRPr="00044A9E" w:rsidRDefault="00044A9E">
            <w:pPr>
              <w:rPr>
                <w:rFonts w:ascii="Arial" w:hAnsi="Arial" w:cs="Arial"/>
                <w:color w:val="1F3864" w:themeColor="accent1" w:themeShade="80"/>
                <w:sz w:val="28"/>
              </w:rPr>
            </w:pPr>
            <w:r>
              <w:rPr>
                <w:rFonts w:ascii="Arial" w:hAnsi="Arial" w:cs="Arial"/>
                <w:color w:val="1F3864" w:themeColor="accent1" w:themeShade="80"/>
                <w:sz w:val="28"/>
              </w:rPr>
              <w:t>Bachelor of Dental Surgery</w:t>
            </w:r>
          </w:p>
        </w:tc>
      </w:tr>
    </w:tbl>
    <w:p w14:paraId="0F67ED43" w14:textId="77777777" w:rsidR="00A25B60" w:rsidRPr="00044A9E" w:rsidRDefault="00A25B60">
      <w:pPr>
        <w:rPr>
          <w:rFonts w:ascii="Arial" w:hAnsi="Arial" w:cs="Arial"/>
          <w:color w:val="1F3864" w:themeColor="accent1" w:themeShade="80"/>
          <w:sz w:val="28"/>
        </w:rPr>
      </w:pPr>
    </w:p>
    <w:tbl>
      <w:tblPr>
        <w:tblStyle w:val="TableGrid"/>
        <w:tblW w:w="0" w:type="auto"/>
        <w:tblLook w:val="04A0" w:firstRow="1" w:lastRow="0" w:firstColumn="1" w:lastColumn="0" w:noHBand="0" w:noVBand="1"/>
      </w:tblPr>
      <w:tblGrid>
        <w:gridCol w:w="3114"/>
        <w:gridCol w:w="5902"/>
      </w:tblGrid>
      <w:tr w:rsidR="00E54A44" w:rsidRPr="00044A9E" w14:paraId="057129CD" w14:textId="77777777" w:rsidTr="00711964">
        <w:tc>
          <w:tcPr>
            <w:tcW w:w="3114" w:type="dxa"/>
            <w:shd w:val="clear" w:color="auto" w:fill="1F3864" w:themeFill="accent1" w:themeFillShade="80"/>
          </w:tcPr>
          <w:p w14:paraId="2CEEF8B0" w14:textId="6CD64D55" w:rsidR="00E54A44" w:rsidRPr="00044A9E" w:rsidRDefault="00E54A44">
            <w:pPr>
              <w:rPr>
                <w:rFonts w:ascii="Arial" w:hAnsi="Arial" w:cs="Arial"/>
                <w:color w:val="FFFFFF" w:themeColor="background1"/>
                <w:sz w:val="28"/>
              </w:rPr>
            </w:pPr>
            <w:r w:rsidRPr="00044A9E">
              <w:rPr>
                <w:rFonts w:ascii="Arial" w:hAnsi="Arial" w:cs="Arial"/>
                <w:color w:val="FFFFFF" w:themeColor="background1"/>
                <w:sz w:val="28"/>
              </w:rPr>
              <w:t>Outcome of Inspection</w:t>
            </w:r>
          </w:p>
        </w:tc>
        <w:tc>
          <w:tcPr>
            <w:tcW w:w="5902" w:type="dxa"/>
          </w:tcPr>
          <w:p w14:paraId="66C74363" w14:textId="129AFB94" w:rsidR="00BA0A18" w:rsidRPr="00044A9E" w:rsidRDefault="00F95E6E">
            <w:pPr>
              <w:rPr>
                <w:rFonts w:ascii="Arial" w:hAnsi="Arial" w:cs="Arial"/>
                <w:color w:val="1F3864" w:themeColor="accent1" w:themeShade="80"/>
                <w:sz w:val="28"/>
              </w:rPr>
            </w:pPr>
            <w:r w:rsidRPr="00F95E6E">
              <w:rPr>
                <w:rFonts w:ascii="Arial" w:hAnsi="Arial" w:cs="Arial"/>
                <w:color w:val="1F3864" w:themeColor="accent1" w:themeShade="80"/>
                <w:sz w:val="28"/>
                <w:lang w:eastAsia="en-GB"/>
              </w:rPr>
              <w:t xml:space="preserve">Recommended that the </w:t>
            </w:r>
            <w:r w:rsidR="00F86FD8">
              <w:rPr>
                <w:rFonts w:ascii="Arial" w:hAnsi="Arial" w:cs="Arial"/>
                <w:color w:val="1F3864" w:themeColor="accent1" w:themeShade="80"/>
                <w:sz w:val="28"/>
                <w:lang w:eastAsia="en-GB"/>
              </w:rPr>
              <w:t>Bachelor of Dental Surgery</w:t>
            </w:r>
            <w:r w:rsidRPr="00F95E6E">
              <w:rPr>
                <w:rFonts w:ascii="Arial" w:hAnsi="Arial" w:cs="Arial"/>
                <w:color w:val="1F3864" w:themeColor="accent1" w:themeShade="80"/>
                <w:sz w:val="28"/>
                <w:lang w:eastAsia="en-GB"/>
              </w:rPr>
              <w:t>, delivered within a combined programme under the Centennial Curriculum, continues to be sufficient for the graduating cohort to register as dentists</w:t>
            </w:r>
            <w:r w:rsidR="000367EC">
              <w:rPr>
                <w:rFonts w:ascii="Arial" w:hAnsi="Arial" w:cs="Arial"/>
                <w:color w:val="1F3864" w:themeColor="accent1" w:themeShade="80"/>
                <w:sz w:val="28"/>
                <w:lang w:eastAsia="en-GB"/>
              </w:rPr>
              <w:t>.</w:t>
            </w:r>
          </w:p>
        </w:tc>
      </w:tr>
    </w:tbl>
    <w:p w14:paraId="4EF56798" w14:textId="56D04F83" w:rsidR="00D672A1" w:rsidRPr="00044A9E" w:rsidRDefault="00D672A1">
      <w:pPr>
        <w:rPr>
          <w:rFonts w:ascii="Arial" w:hAnsi="Arial" w:cs="Arial"/>
          <w:color w:val="1F3864" w:themeColor="accent1" w:themeShade="80"/>
          <w:sz w:val="28"/>
        </w:rPr>
      </w:pPr>
    </w:p>
    <w:p w14:paraId="108749C8" w14:textId="23584368" w:rsidR="00D672A1" w:rsidRPr="00044A9E" w:rsidRDefault="00D672A1">
      <w:pPr>
        <w:rPr>
          <w:rFonts w:ascii="Arial" w:hAnsi="Arial" w:cs="Arial"/>
          <w:color w:val="1F3864" w:themeColor="accent1" w:themeShade="80"/>
          <w:sz w:val="28"/>
        </w:rPr>
      </w:pPr>
      <w:r w:rsidRPr="00044A9E">
        <w:rPr>
          <w:rFonts w:ascii="Arial" w:hAnsi="Arial" w:cs="Arial"/>
          <w:color w:val="1F3864" w:themeColor="accent1" w:themeShade="80"/>
          <w:sz w:val="28"/>
        </w:rPr>
        <w:br w:type="page"/>
      </w:r>
    </w:p>
    <w:p w14:paraId="10105D78" w14:textId="24EB8B61" w:rsidR="00BD4BB3" w:rsidRPr="00044A9E" w:rsidRDefault="00F671FD" w:rsidP="00BD4BB3">
      <w:pPr>
        <w:jc w:val="center"/>
        <w:rPr>
          <w:rFonts w:ascii="Arial" w:hAnsi="Arial" w:cs="Arial"/>
          <w:b/>
          <w:color w:val="365F91"/>
          <w:sz w:val="28"/>
          <w:szCs w:val="28"/>
        </w:rPr>
      </w:pPr>
      <w:r w:rsidRPr="00044A9E">
        <w:rPr>
          <w:rFonts w:ascii="Arial" w:hAnsi="Arial" w:cs="Arial"/>
          <w:b/>
          <w:color w:val="365F91"/>
          <w:sz w:val="28"/>
          <w:szCs w:val="28"/>
        </w:rPr>
        <w:lastRenderedPageBreak/>
        <w:t>*</w:t>
      </w:r>
      <w:r w:rsidR="00BD4BB3" w:rsidRPr="00044A9E">
        <w:rPr>
          <w:rFonts w:ascii="Arial" w:hAnsi="Arial" w:cs="Arial"/>
          <w:b/>
          <w:color w:val="365F91"/>
          <w:sz w:val="28"/>
          <w:szCs w:val="28"/>
        </w:rPr>
        <w:t xml:space="preserve">Full details of the inspection process can be found in </w:t>
      </w:r>
      <w:r w:rsidR="000A6A8E" w:rsidRPr="00044A9E">
        <w:rPr>
          <w:rFonts w:ascii="Arial" w:hAnsi="Arial" w:cs="Arial"/>
          <w:b/>
          <w:color w:val="365F91"/>
          <w:sz w:val="28"/>
          <w:szCs w:val="28"/>
        </w:rPr>
        <w:t>A</w:t>
      </w:r>
      <w:r w:rsidR="00BD4BB3" w:rsidRPr="00044A9E">
        <w:rPr>
          <w:rFonts w:ascii="Arial" w:hAnsi="Arial" w:cs="Arial"/>
          <w:b/>
          <w:color w:val="365F91"/>
          <w:sz w:val="28"/>
          <w:szCs w:val="28"/>
        </w:rPr>
        <w:t>nnex</w:t>
      </w:r>
      <w:r w:rsidR="000A6A8E" w:rsidRPr="00044A9E">
        <w:rPr>
          <w:rFonts w:ascii="Arial" w:hAnsi="Arial" w:cs="Arial"/>
          <w:b/>
          <w:color w:val="365F91"/>
          <w:sz w:val="28"/>
          <w:szCs w:val="28"/>
        </w:rPr>
        <w:t xml:space="preserve"> 1</w:t>
      </w:r>
      <w:r w:rsidRPr="00044A9E">
        <w:rPr>
          <w:rFonts w:ascii="Arial" w:hAnsi="Arial" w:cs="Arial"/>
          <w:b/>
          <w:color w:val="365F91"/>
          <w:sz w:val="28"/>
          <w:szCs w:val="28"/>
        </w:rPr>
        <w:t>*</w:t>
      </w:r>
    </w:p>
    <w:p w14:paraId="18A65495" w14:textId="77777777" w:rsidR="000A6A8E" w:rsidRPr="00044A9E" w:rsidRDefault="000A6A8E" w:rsidP="00204D49">
      <w:pPr>
        <w:spacing w:after="0"/>
        <w:rPr>
          <w:rFonts w:ascii="Arial" w:hAnsi="Arial" w:cs="Arial"/>
          <w:b/>
          <w:color w:val="244061"/>
          <w:sz w:val="28"/>
          <w:szCs w:val="28"/>
          <w:lang w:eastAsia="en-GB"/>
        </w:rPr>
      </w:pPr>
    </w:p>
    <w:p w14:paraId="0C1EAE46" w14:textId="7B4EC9F2" w:rsidR="00BD4BB3" w:rsidRPr="00044A9E" w:rsidRDefault="00BD4BB3" w:rsidP="00204D49">
      <w:pPr>
        <w:spacing w:after="0"/>
        <w:rPr>
          <w:rFonts w:ascii="Arial" w:hAnsi="Arial" w:cs="Arial"/>
          <w:b/>
          <w:color w:val="244061"/>
          <w:sz w:val="28"/>
          <w:szCs w:val="28"/>
          <w:lang w:eastAsia="en-GB"/>
        </w:rPr>
      </w:pPr>
      <w:r w:rsidRPr="00044A9E">
        <w:rPr>
          <w:rFonts w:ascii="Arial" w:hAnsi="Arial" w:cs="Arial"/>
          <w:b/>
          <w:color w:val="244061"/>
          <w:sz w:val="28"/>
          <w:szCs w:val="28"/>
          <w:lang w:eastAsia="en-GB"/>
        </w:rPr>
        <w:t>Inspection summary</w:t>
      </w:r>
    </w:p>
    <w:p w14:paraId="51F1BC46" w14:textId="77777777" w:rsidR="00204D49" w:rsidRPr="00044A9E" w:rsidRDefault="00204D49" w:rsidP="00204D49">
      <w:pPr>
        <w:spacing w:after="0"/>
        <w:rPr>
          <w:rFonts w:ascii="Arial" w:hAnsi="Arial" w:cs="Arial"/>
          <w:b/>
          <w:color w:val="244061"/>
          <w:sz w:val="28"/>
          <w:szCs w:val="28"/>
          <w:lang w:eastAsia="en-GB"/>
        </w:rPr>
      </w:pPr>
    </w:p>
    <w:tbl>
      <w:tblPr>
        <w:tblStyle w:val="TableGrid"/>
        <w:tblW w:w="9478" w:type="dxa"/>
        <w:tblLook w:val="04A0" w:firstRow="1" w:lastRow="0" w:firstColumn="1" w:lastColumn="0" w:noHBand="0" w:noVBand="1"/>
      </w:tblPr>
      <w:tblGrid>
        <w:gridCol w:w="4106"/>
        <w:gridCol w:w="5372"/>
      </w:tblGrid>
      <w:tr w:rsidR="008E4A71" w:rsidRPr="00044A9E" w14:paraId="73E47D7B" w14:textId="77777777" w:rsidTr="00A759EC">
        <w:tc>
          <w:tcPr>
            <w:tcW w:w="4106" w:type="dxa"/>
          </w:tcPr>
          <w:p w14:paraId="6232DDC4" w14:textId="17F35486" w:rsidR="008E4A71" w:rsidRPr="00044A9E" w:rsidRDefault="008E4A71" w:rsidP="00A759EC">
            <w:pPr>
              <w:rPr>
                <w:rFonts w:ascii="Arial" w:eastAsia="Times New Roman" w:hAnsi="Arial" w:cs="Arial"/>
                <w:b/>
                <w:smallCaps/>
                <w:sz w:val="24"/>
                <w:szCs w:val="24"/>
                <w:lang w:eastAsia="en-GB"/>
              </w:rPr>
            </w:pPr>
            <w:r w:rsidRPr="00044A9E">
              <w:rPr>
                <w:rFonts w:ascii="Arial" w:hAnsi="Arial" w:cs="Arial"/>
                <w:b/>
                <w:sz w:val="24"/>
                <w:szCs w:val="24"/>
              </w:rPr>
              <w:t>Remit and purpose</w:t>
            </w:r>
            <w:r w:rsidR="00204D49" w:rsidRPr="00044A9E">
              <w:rPr>
                <w:rFonts w:ascii="Arial" w:hAnsi="Arial" w:cs="Arial"/>
                <w:b/>
                <w:sz w:val="24"/>
                <w:szCs w:val="24"/>
              </w:rPr>
              <w:t xml:space="preserve"> of inspection</w:t>
            </w:r>
            <w:r w:rsidRPr="00044A9E">
              <w:rPr>
                <w:rFonts w:ascii="Arial" w:eastAsia="Times New Roman" w:hAnsi="Arial" w:cs="Arial"/>
                <w:b/>
                <w:smallCaps/>
                <w:sz w:val="24"/>
                <w:szCs w:val="24"/>
                <w:lang w:eastAsia="en-GB"/>
              </w:rPr>
              <w:t>:</w:t>
            </w:r>
          </w:p>
          <w:p w14:paraId="54728ABC" w14:textId="77777777" w:rsidR="008E4A71" w:rsidRPr="00044A9E" w:rsidRDefault="008E4A71" w:rsidP="00A759EC">
            <w:pPr>
              <w:rPr>
                <w:rFonts w:ascii="Arial" w:eastAsia="Calibri" w:hAnsi="Arial" w:cs="Arial"/>
                <w:b/>
                <w:color w:val="2F5496" w:themeColor="accent1" w:themeShade="BF"/>
                <w:sz w:val="28"/>
                <w:szCs w:val="28"/>
              </w:rPr>
            </w:pPr>
          </w:p>
        </w:tc>
        <w:tc>
          <w:tcPr>
            <w:tcW w:w="5372" w:type="dxa"/>
          </w:tcPr>
          <w:p w14:paraId="62DBC1D3" w14:textId="30BBA810" w:rsidR="008E4A71" w:rsidRPr="00044A9E" w:rsidRDefault="008E4A71" w:rsidP="00A759EC">
            <w:pPr>
              <w:rPr>
                <w:rFonts w:ascii="Arial" w:hAnsi="Arial" w:cs="Arial"/>
                <w:b/>
                <w:sz w:val="24"/>
                <w:lang w:eastAsia="en-GB"/>
              </w:rPr>
            </w:pPr>
            <w:r w:rsidRPr="00044A9E">
              <w:rPr>
                <w:rFonts w:ascii="Arial" w:hAnsi="Arial" w:cs="Arial"/>
                <w:b/>
                <w:sz w:val="24"/>
                <w:lang w:eastAsia="en-GB"/>
              </w:rPr>
              <w:t xml:space="preserve">Inspection referencing the </w:t>
            </w:r>
            <w:r w:rsidRPr="00044A9E">
              <w:rPr>
                <w:rFonts w:ascii="Arial" w:hAnsi="Arial" w:cs="Arial"/>
                <w:b/>
                <w:i/>
                <w:sz w:val="24"/>
                <w:lang w:eastAsia="en-GB"/>
              </w:rPr>
              <w:t>Standards for Education</w:t>
            </w:r>
            <w:r w:rsidRPr="00044A9E">
              <w:rPr>
                <w:rFonts w:ascii="Arial" w:hAnsi="Arial" w:cs="Arial"/>
                <w:b/>
                <w:sz w:val="24"/>
                <w:lang w:eastAsia="en-GB"/>
              </w:rPr>
              <w:t xml:space="preserve"> to </w:t>
            </w:r>
            <w:r w:rsidRPr="008E4CA1">
              <w:rPr>
                <w:rFonts w:ascii="Arial" w:hAnsi="Arial" w:cs="Arial"/>
                <w:b/>
                <w:sz w:val="24"/>
                <w:lang w:eastAsia="en-GB"/>
              </w:rPr>
              <w:t>determine</w:t>
            </w:r>
            <w:r w:rsidR="000A6A8E" w:rsidRPr="008E4CA1">
              <w:rPr>
                <w:rFonts w:ascii="Arial" w:hAnsi="Arial" w:cs="Arial"/>
                <w:b/>
                <w:sz w:val="24"/>
                <w:lang w:eastAsia="en-GB"/>
              </w:rPr>
              <w:t xml:space="preserve"> sufficiency </w:t>
            </w:r>
            <w:r w:rsidRPr="008E4CA1">
              <w:rPr>
                <w:rFonts w:ascii="Arial" w:hAnsi="Arial" w:cs="Arial"/>
                <w:b/>
                <w:sz w:val="24"/>
                <w:lang w:eastAsia="en-GB"/>
              </w:rPr>
              <w:t>of</w:t>
            </w:r>
            <w:r w:rsidRPr="00044A9E">
              <w:rPr>
                <w:rFonts w:ascii="Arial" w:hAnsi="Arial" w:cs="Arial"/>
                <w:b/>
                <w:sz w:val="24"/>
                <w:lang w:eastAsia="en-GB"/>
              </w:rPr>
              <w:t xml:space="preserve"> the award for the purpose of registration with the GDC as</w:t>
            </w:r>
            <w:r w:rsidR="00044A9E">
              <w:rPr>
                <w:rFonts w:ascii="Arial" w:hAnsi="Arial" w:cs="Arial"/>
                <w:b/>
                <w:sz w:val="24"/>
                <w:lang w:eastAsia="en-GB"/>
              </w:rPr>
              <w:t xml:space="preserve"> a dentist.</w:t>
            </w:r>
          </w:p>
          <w:p w14:paraId="3C0E87C5" w14:textId="77777777" w:rsidR="009642CA" w:rsidRPr="00044A9E" w:rsidRDefault="009642CA" w:rsidP="00A759EC">
            <w:pPr>
              <w:rPr>
                <w:rFonts w:ascii="Arial" w:hAnsi="Arial" w:cs="Arial"/>
                <w:b/>
                <w:sz w:val="24"/>
                <w:lang w:eastAsia="en-GB"/>
              </w:rPr>
            </w:pPr>
          </w:p>
          <w:p w14:paraId="23A7B557" w14:textId="17A77D36" w:rsidR="008E4A71" w:rsidRPr="00044A9E" w:rsidRDefault="008E4A71" w:rsidP="00A759EC">
            <w:pPr>
              <w:rPr>
                <w:rFonts w:ascii="Arial" w:eastAsia="Calibri" w:hAnsi="Arial" w:cs="Arial"/>
                <w:b/>
                <w:color w:val="2F5496" w:themeColor="accent1" w:themeShade="BF"/>
                <w:sz w:val="24"/>
                <w:szCs w:val="24"/>
              </w:rPr>
            </w:pPr>
          </w:p>
        </w:tc>
      </w:tr>
      <w:tr w:rsidR="008E4A71" w:rsidRPr="00044A9E" w14:paraId="3F28A39A" w14:textId="77777777" w:rsidTr="00A759EC">
        <w:tc>
          <w:tcPr>
            <w:tcW w:w="4106" w:type="dxa"/>
          </w:tcPr>
          <w:p w14:paraId="1FAEBE56" w14:textId="77777777" w:rsidR="008E4A71" w:rsidRPr="00044A9E" w:rsidRDefault="008E4A71" w:rsidP="00A759EC">
            <w:pPr>
              <w:rPr>
                <w:rFonts w:ascii="Arial" w:eastAsia="Times New Roman" w:hAnsi="Arial" w:cs="Arial"/>
                <w:b/>
                <w:smallCaps/>
                <w:sz w:val="24"/>
                <w:szCs w:val="24"/>
                <w:lang w:eastAsia="en-GB"/>
              </w:rPr>
            </w:pPr>
            <w:r w:rsidRPr="00044A9E">
              <w:rPr>
                <w:rFonts w:ascii="Arial" w:hAnsi="Arial" w:cs="Arial"/>
                <w:b/>
                <w:sz w:val="24"/>
                <w:szCs w:val="24"/>
              </w:rPr>
              <w:t>Learning Outcomes</w:t>
            </w:r>
            <w:r w:rsidRPr="00044A9E">
              <w:rPr>
                <w:rFonts w:ascii="Arial" w:eastAsia="Times New Roman" w:hAnsi="Arial" w:cs="Arial"/>
                <w:b/>
                <w:smallCaps/>
                <w:sz w:val="24"/>
                <w:szCs w:val="24"/>
                <w:lang w:eastAsia="en-GB"/>
              </w:rPr>
              <w:t>:</w:t>
            </w:r>
          </w:p>
          <w:p w14:paraId="0DC8BD64" w14:textId="77777777" w:rsidR="008E4A71" w:rsidRPr="00044A9E" w:rsidRDefault="008E4A71" w:rsidP="00A759EC">
            <w:pPr>
              <w:rPr>
                <w:rFonts w:ascii="Arial" w:eastAsia="Times New Roman" w:hAnsi="Arial" w:cs="Arial"/>
                <w:b/>
                <w:smallCaps/>
                <w:sz w:val="24"/>
                <w:szCs w:val="24"/>
                <w:lang w:eastAsia="en-GB"/>
              </w:rPr>
            </w:pPr>
          </w:p>
        </w:tc>
        <w:tc>
          <w:tcPr>
            <w:tcW w:w="5372" w:type="dxa"/>
          </w:tcPr>
          <w:p w14:paraId="193FC9AD" w14:textId="3C558560" w:rsidR="008E4A71" w:rsidRPr="00044A9E" w:rsidRDefault="008E4A71" w:rsidP="009642CA">
            <w:pPr>
              <w:rPr>
                <w:rFonts w:ascii="Arial" w:hAnsi="Arial" w:cs="Arial"/>
                <w:lang w:eastAsia="en-GB"/>
              </w:rPr>
            </w:pPr>
            <w:r w:rsidRPr="00044A9E">
              <w:rPr>
                <w:rFonts w:ascii="Arial" w:hAnsi="Arial" w:cs="Arial"/>
                <w:b/>
                <w:iCs/>
                <w:sz w:val="24"/>
                <w:lang w:eastAsia="en-GB"/>
              </w:rPr>
              <w:t>Preparing for Practice (</w:t>
            </w:r>
            <w:r w:rsidR="00044A9E" w:rsidRPr="00044A9E">
              <w:rPr>
                <w:rFonts w:ascii="Arial" w:hAnsi="Arial" w:cs="Arial"/>
                <w:b/>
                <w:iCs/>
                <w:sz w:val="24"/>
                <w:lang w:eastAsia="en-GB"/>
              </w:rPr>
              <w:t>Dentist</w:t>
            </w:r>
            <w:r w:rsidR="00AC1360" w:rsidRPr="00044A9E">
              <w:rPr>
                <w:rFonts w:ascii="Arial" w:hAnsi="Arial" w:cs="Arial"/>
                <w:b/>
                <w:iCs/>
                <w:sz w:val="24"/>
                <w:lang w:eastAsia="en-GB"/>
              </w:rPr>
              <w:t>)</w:t>
            </w:r>
          </w:p>
        </w:tc>
      </w:tr>
      <w:tr w:rsidR="008E4A71" w:rsidRPr="00044A9E" w14:paraId="0E74530D" w14:textId="77777777" w:rsidTr="00A759EC">
        <w:tc>
          <w:tcPr>
            <w:tcW w:w="4106" w:type="dxa"/>
          </w:tcPr>
          <w:p w14:paraId="151915CD" w14:textId="7C4855DF" w:rsidR="008E4A71" w:rsidRPr="00044A9E" w:rsidRDefault="008E4A71" w:rsidP="00A759EC">
            <w:pPr>
              <w:rPr>
                <w:rFonts w:ascii="Arial" w:eastAsia="Times New Roman" w:hAnsi="Arial" w:cs="Arial"/>
                <w:b/>
                <w:smallCaps/>
                <w:sz w:val="24"/>
                <w:szCs w:val="24"/>
                <w:lang w:eastAsia="en-GB"/>
              </w:rPr>
            </w:pPr>
            <w:r w:rsidRPr="00044A9E">
              <w:rPr>
                <w:rFonts w:ascii="Arial" w:hAnsi="Arial" w:cs="Arial"/>
                <w:b/>
                <w:sz w:val="24"/>
                <w:szCs w:val="24"/>
              </w:rPr>
              <w:t>Programme inspection date</w:t>
            </w:r>
            <w:r w:rsidR="00044A9E">
              <w:rPr>
                <w:rFonts w:ascii="Arial" w:hAnsi="Arial" w:cs="Arial"/>
                <w:b/>
                <w:sz w:val="24"/>
                <w:szCs w:val="24"/>
              </w:rPr>
              <w:t>:</w:t>
            </w:r>
          </w:p>
          <w:p w14:paraId="7E661E8E" w14:textId="77777777" w:rsidR="008E4A71" w:rsidRPr="00044A9E" w:rsidRDefault="008E4A71" w:rsidP="00A759EC">
            <w:pPr>
              <w:rPr>
                <w:rFonts w:ascii="Arial" w:eastAsia="Times New Roman" w:hAnsi="Arial" w:cs="Arial"/>
                <w:b/>
                <w:smallCaps/>
                <w:sz w:val="24"/>
                <w:szCs w:val="24"/>
                <w:lang w:eastAsia="en-GB"/>
              </w:rPr>
            </w:pPr>
          </w:p>
        </w:tc>
        <w:tc>
          <w:tcPr>
            <w:tcW w:w="5372" w:type="dxa"/>
          </w:tcPr>
          <w:p w14:paraId="2EAF198F" w14:textId="12741300" w:rsidR="008E4A71" w:rsidRPr="00044A9E" w:rsidRDefault="00044A9E" w:rsidP="00A759EC">
            <w:pPr>
              <w:rPr>
                <w:rFonts w:ascii="Arial" w:hAnsi="Arial" w:cs="Arial"/>
                <w:b/>
                <w:sz w:val="24"/>
                <w:szCs w:val="24"/>
                <w:lang w:eastAsia="en-GB"/>
              </w:rPr>
            </w:pPr>
            <w:r>
              <w:rPr>
                <w:rFonts w:ascii="Arial" w:hAnsi="Arial" w:cs="Arial"/>
                <w:b/>
                <w:sz w:val="24"/>
                <w:szCs w:val="24"/>
                <w:lang w:eastAsia="en-GB"/>
              </w:rPr>
              <w:t>23 and 24 January 2024</w:t>
            </w:r>
          </w:p>
        </w:tc>
      </w:tr>
      <w:tr w:rsidR="008E4A71" w:rsidRPr="00044A9E" w14:paraId="4F3BF7A4" w14:textId="77777777" w:rsidTr="00A759EC">
        <w:tc>
          <w:tcPr>
            <w:tcW w:w="4106" w:type="dxa"/>
          </w:tcPr>
          <w:p w14:paraId="5AE6DDE9" w14:textId="4AF3A5AD" w:rsidR="00A147B5" w:rsidRDefault="008E4A71" w:rsidP="00044A9E">
            <w:pPr>
              <w:rPr>
                <w:rFonts w:ascii="Arial" w:hAnsi="Arial" w:cs="Arial"/>
                <w:b/>
                <w:sz w:val="24"/>
                <w:szCs w:val="24"/>
              </w:rPr>
            </w:pPr>
            <w:r w:rsidRPr="00044A9E">
              <w:rPr>
                <w:rFonts w:ascii="Arial" w:hAnsi="Arial" w:cs="Arial"/>
                <w:b/>
                <w:sz w:val="24"/>
                <w:szCs w:val="24"/>
              </w:rPr>
              <w:t>Examination inspection date</w:t>
            </w:r>
            <w:r w:rsidR="00A147B5">
              <w:rPr>
                <w:rFonts w:ascii="Arial" w:hAnsi="Arial" w:cs="Arial"/>
                <w:b/>
                <w:sz w:val="24"/>
                <w:szCs w:val="24"/>
              </w:rPr>
              <w:t>:</w:t>
            </w:r>
          </w:p>
          <w:p w14:paraId="1FA2D3DF" w14:textId="37F8481F" w:rsidR="00044A9E" w:rsidRDefault="00A147B5" w:rsidP="00044A9E">
            <w:pPr>
              <w:rPr>
                <w:rFonts w:ascii="Arial" w:hAnsi="Arial" w:cs="Arial"/>
                <w:b/>
                <w:sz w:val="24"/>
                <w:szCs w:val="24"/>
              </w:rPr>
            </w:pPr>
            <w:r>
              <w:rPr>
                <w:rFonts w:ascii="Arial" w:hAnsi="Arial" w:cs="Arial"/>
                <w:b/>
                <w:sz w:val="24"/>
                <w:szCs w:val="24"/>
              </w:rPr>
              <w:t>Examination board date</w:t>
            </w:r>
            <w:r w:rsidR="00044A9E">
              <w:rPr>
                <w:rFonts w:ascii="Arial" w:hAnsi="Arial" w:cs="Arial"/>
                <w:b/>
                <w:sz w:val="24"/>
                <w:szCs w:val="24"/>
              </w:rPr>
              <w:t>:</w:t>
            </w:r>
          </w:p>
          <w:p w14:paraId="1BD5BD6B" w14:textId="08FF40BE" w:rsidR="00A147B5" w:rsidRPr="00044A9E" w:rsidRDefault="00A147B5" w:rsidP="00044A9E">
            <w:pPr>
              <w:rPr>
                <w:rFonts w:ascii="Arial" w:eastAsia="Times New Roman" w:hAnsi="Arial" w:cs="Arial"/>
                <w:b/>
                <w:smallCaps/>
                <w:sz w:val="24"/>
                <w:szCs w:val="24"/>
                <w:lang w:eastAsia="en-GB"/>
              </w:rPr>
            </w:pPr>
          </w:p>
          <w:p w14:paraId="44A6C3B0" w14:textId="6B69D0B6" w:rsidR="008E4A71" w:rsidRPr="00044A9E" w:rsidRDefault="008E4A71" w:rsidP="00A759EC">
            <w:pPr>
              <w:rPr>
                <w:rFonts w:ascii="Arial" w:eastAsia="Times New Roman" w:hAnsi="Arial" w:cs="Arial"/>
                <w:b/>
                <w:smallCaps/>
                <w:sz w:val="24"/>
                <w:szCs w:val="24"/>
                <w:lang w:eastAsia="en-GB"/>
              </w:rPr>
            </w:pPr>
          </w:p>
        </w:tc>
        <w:tc>
          <w:tcPr>
            <w:tcW w:w="5372" w:type="dxa"/>
          </w:tcPr>
          <w:p w14:paraId="10AD165E" w14:textId="77777777" w:rsidR="008E4A71" w:rsidRDefault="00044A9E" w:rsidP="00A759EC">
            <w:pPr>
              <w:rPr>
                <w:rFonts w:ascii="Arial" w:hAnsi="Arial" w:cs="Arial"/>
                <w:b/>
                <w:sz w:val="24"/>
                <w:szCs w:val="24"/>
                <w:lang w:eastAsia="en-GB"/>
              </w:rPr>
            </w:pPr>
            <w:r>
              <w:rPr>
                <w:rFonts w:ascii="Arial" w:hAnsi="Arial" w:cs="Arial"/>
                <w:b/>
                <w:sz w:val="24"/>
                <w:szCs w:val="24"/>
                <w:lang w:eastAsia="en-GB"/>
              </w:rPr>
              <w:t>30 April 2024</w:t>
            </w:r>
          </w:p>
          <w:p w14:paraId="4CAE212F" w14:textId="5ED11BD1" w:rsidR="00A147B5" w:rsidRPr="00044A9E" w:rsidRDefault="00A147B5" w:rsidP="00A759EC">
            <w:pPr>
              <w:rPr>
                <w:rFonts w:ascii="Arial" w:hAnsi="Arial" w:cs="Arial"/>
                <w:b/>
                <w:sz w:val="24"/>
                <w:szCs w:val="24"/>
                <w:lang w:eastAsia="en-GB"/>
              </w:rPr>
            </w:pPr>
            <w:r>
              <w:rPr>
                <w:rFonts w:ascii="Arial" w:hAnsi="Arial" w:cs="Arial"/>
                <w:b/>
                <w:sz w:val="24"/>
                <w:szCs w:val="24"/>
                <w:lang w:eastAsia="en-GB"/>
              </w:rPr>
              <w:t>13 June 2024</w:t>
            </w:r>
          </w:p>
        </w:tc>
      </w:tr>
      <w:tr w:rsidR="008E4A71" w:rsidRPr="00044A9E" w14:paraId="4B52CF4D" w14:textId="77777777" w:rsidTr="00A759EC">
        <w:tc>
          <w:tcPr>
            <w:tcW w:w="4106" w:type="dxa"/>
          </w:tcPr>
          <w:p w14:paraId="4A983A2D" w14:textId="7DF7B507" w:rsidR="008E4A71" w:rsidRPr="00044A9E" w:rsidRDefault="008E4A71" w:rsidP="00A759EC">
            <w:pPr>
              <w:pStyle w:val="Heading2"/>
              <w:ind w:right="-424"/>
              <w:rPr>
                <w:rFonts w:cs="Arial"/>
                <w:b/>
                <w:smallCaps/>
                <w:sz w:val="24"/>
                <w:szCs w:val="24"/>
                <w:lang w:val="en-GB"/>
              </w:rPr>
            </w:pPr>
            <w:r w:rsidRPr="00044A9E">
              <w:rPr>
                <w:rFonts w:cs="Arial"/>
                <w:b/>
                <w:sz w:val="24"/>
                <w:szCs w:val="24"/>
                <w:lang w:val="en-GB"/>
              </w:rPr>
              <w:t xml:space="preserve">Inspection </w:t>
            </w:r>
            <w:r w:rsidR="007743A4" w:rsidRPr="00044A9E">
              <w:rPr>
                <w:rFonts w:cs="Arial"/>
                <w:b/>
                <w:sz w:val="24"/>
                <w:szCs w:val="24"/>
                <w:lang w:val="en-GB"/>
              </w:rPr>
              <w:t>team</w:t>
            </w:r>
            <w:r w:rsidRPr="00044A9E">
              <w:rPr>
                <w:rFonts w:cs="Arial"/>
                <w:b/>
                <w:smallCaps/>
                <w:sz w:val="24"/>
                <w:szCs w:val="24"/>
                <w:lang w:val="en-GB"/>
              </w:rPr>
              <w:t>:</w:t>
            </w:r>
          </w:p>
          <w:p w14:paraId="4CFCA3E4" w14:textId="77777777" w:rsidR="008E4A71" w:rsidRPr="00044A9E" w:rsidRDefault="008E4A71" w:rsidP="00A759EC">
            <w:pPr>
              <w:jc w:val="center"/>
              <w:rPr>
                <w:rFonts w:ascii="Arial" w:eastAsia="Times New Roman" w:hAnsi="Arial" w:cs="Arial"/>
                <w:b/>
                <w:smallCaps/>
                <w:sz w:val="24"/>
                <w:szCs w:val="24"/>
                <w:lang w:eastAsia="en-GB"/>
              </w:rPr>
            </w:pPr>
          </w:p>
        </w:tc>
        <w:tc>
          <w:tcPr>
            <w:tcW w:w="5372" w:type="dxa"/>
          </w:tcPr>
          <w:p w14:paraId="13284FFA" w14:textId="3B5F65F3" w:rsidR="008E4A71" w:rsidRPr="00044A9E" w:rsidRDefault="00044A9E" w:rsidP="00A759EC">
            <w:pPr>
              <w:rPr>
                <w:rFonts w:ascii="Arial" w:hAnsi="Arial" w:cs="Arial"/>
                <w:b/>
                <w:sz w:val="24"/>
                <w:lang w:eastAsia="en-GB"/>
              </w:rPr>
            </w:pPr>
            <w:r w:rsidRPr="00044A9E">
              <w:rPr>
                <w:rFonts w:ascii="Arial" w:hAnsi="Arial" w:cs="Arial"/>
                <w:b/>
                <w:sz w:val="24"/>
                <w:lang w:eastAsia="en-GB"/>
              </w:rPr>
              <w:t>Jane Andrews</w:t>
            </w:r>
            <w:r w:rsidR="008E4A71" w:rsidRPr="00044A9E">
              <w:rPr>
                <w:rFonts w:ascii="Arial" w:hAnsi="Arial" w:cs="Arial"/>
                <w:b/>
                <w:sz w:val="24"/>
                <w:lang w:eastAsia="en-GB"/>
              </w:rPr>
              <w:t xml:space="preserve"> (Chair and </w:t>
            </w:r>
            <w:r w:rsidR="00AC1360" w:rsidRPr="00044A9E">
              <w:rPr>
                <w:rFonts w:ascii="Arial" w:hAnsi="Arial" w:cs="Arial"/>
                <w:b/>
                <w:sz w:val="24"/>
                <w:lang w:eastAsia="en-GB"/>
              </w:rPr>
              <w:t>n</w:t>
            </w:r>
            <w:r w:rsidR="008E4A71" w:rsidRPr="00044A9E">
              <w:rPr>
                <w:rFonts w:ascii="Arial" w:hAnsi="Arial" w:cs="Arial"/>
                <w:b/>
                <w:sz w:val="24"/>
                <w:lang w:eastAsia="en-GB"/>
              </w:rPr>
              <w:t xml:space="preserve">on-registrant </w:t>
            </w:r>
            <w:r w:rsidR="00AC1360" w:rsidRPr="00044A9E">
              <w:rPr>
                <w:rFonts w:ascii="Arial" w:hAnsi="Arial" w:cs="Arial"/>
                <w:b/>
                <w:sz w:val="24"/>
                <w:lang w:eastAsia="en-GB"/>
              </w:rPr>
              <w:t>m</w:t>
            </w:r>
            <w:r w:rsidR="008E4A71" w:rsidRPr="00044A9E">
              <w:rPr>
                <w:rFonts w:ascii="Arial" w:hAnsi="Arial" w:cs="Arial"/>
                <w:b/>
                <w:sz w:val="24"/>
                <w:lang w:eastAsia="en-GB"/>
              </w:rPr>
              <w:t>ember)</w:t>
            </w:r>
          </w:p>
          <w:p w14:paraId="0C90DDC0" w14:textId="78288E67" w:rsidR="008E4A71" w:rsidRPr="00044A9E" w:rsidRDefault="00044A9E" w:rsidP="00A759EC">
            <w:pPr>
              <w:rPr>
                <w:rFonts w:ascii="Arial" w:hAnsi="Arial" w:cs="Arial"/>
                <w:b/>
                <w:sz w:val="24"/>
                <w:lang w:eastAsia="en-GB"/>
              </w:rPr>
            </w:pPr>
            <w:r w:rsidRPr="00044A9E">
              <w:rPr>
                <w:rFonts w:ascii="Arial" w:hAnsi="Arial" w:cs="Arial"/>
                <w:b/>
                <w:sz w:val="24"/>
                <w:lang w:eastAsia="en-GB"/>
              </w:rPr>
              <w:t>Jo-Anne Taylor</w:t>
            </w:r>
            <w:r w:rsidR="008E4A71" w:rsidRPr="00044A9E">
              <w:rPr>
                <w:rFonts w:ascii="Arial" w:hAnsi="Arial" w:cs="Arial"/>
                <w:b/>
                <w:sz w:val="24"/>
                <w:lang w:eastAsia="en-GB"/>
              </w:rPr>
              <w:t xml:space="preserve"> (D</w:t>
            </w:r>
            <w:r w:rsidRPr="00044A9E">
              <w:rPr>
                <w:rFonts w:ascii="Arial" w:hAnsi="Arial" w:cs="Arial"/>
                <w:b/>
                <w:sz w:val="24"/>
                <w:lang w:eastAsia="en-GB"/>
              </w:rPr>
              <w:t>entist</w:t>
            </w:r>
            <w:r w:rsidR="008E4A71" w:rsidRPr="00044A9E">
              <w:rPr>
                <w:rFonts w:ascii="Arial" w:hAnsi="Arial" w:cs="Arial"/>
                <w:b/>
                <w:sz w:val="24"/>
                <w:lang w:eastAsia="en-GB"/>
              </w:rPr>
              <w:t xml:space="preserve"> </w:t>
            </w:r>
            <w:r w:rsidR="00AC1360" w:rsidRPr="00044A9E">
              <w:rPr>
                <w:rFonts w:ascii="Arial" w:hAnsi="Arial" w:cs="Arial"/>
                <w:b/>
                <w:sz w:val="24"/>
                <w:lang w:eastAsia="en-GB"/>
              </w:rPr>
              <w:t>m</w:t>
            </w:r>
            <w:r w:rsidR="008E4A71" w:rsidRPr="00044A9E">
              <w:rPr>
                <w:rFonts w:ascii="Arial" w:hAnsi="Arial" w:cs="Arial"/>
                <w:b/>
                <w:sz w:val="24"/>
                <w:lang w:eastAsia="en-GB"/>
              </w:rPr>
              <w:t>ember)</w:t>
            </w:r>
          </w:p>
          <w:p w14:paraId="2C97BD82" w14:textId="649A5A36" w:rsidR="008E4A71" w:rsidRPr="00044A9E" w:rsidRDefault="00044A9E" w:rsidP="00A759EC">
            <w:pPr>
              <w:rPr>
                <w:rFonts w:ascii="Arial" w:hAnsi="Arial" w:cs="Arial"/>
                <w:b/>
                <w:sz w:val="24"/>
                <w:lang w:eastAsia="en-GB"/>
              </w:rPr>
            </w:pPr>
            <w:r w:rsidRPr="00044A9E">
              <w:rPr>
                <w:rFonts w:ascii="Arial" w:hAnsi="Arial" w:cs="Arial"/>
                <w:b/>
                <w:sz w:val="24"/>
                <w:lang w:eastAsia="en-GB"/>
              </w:rPr>
              <w:t>Andrew Buddle</w:t>
            </w:r>
            <w:r w:rsidR="008E4A71" w:rsidRPr="00044A9E">
              <w:rPr>
                <w:rFonts w:ascii="Arial" w:hAnsi="Arial" w:cs="Arial"/>
                <w:b/>
                <w:sz w:val="24"/>
                <w:lang w:eastAsia="en-GB"/>
              </w:rPr>
              <w:t xml:space="preserve"> (Dentist </w:t>
            </w:r>
            <w:r w:rsidR="00AC1360" w:rsidRPr="00044A9E">
              <w:rPr>
                <w:rFonts w:ascii="Arial" w:hAnsi="Arial" w:cs="Arial"/>
                <w:b/>
                <w:sz w:val="24"/>
                <w:lang w:eastAsia="en-GB"/>
              </w:rPr>
              <w:t>m</w:t>
            </w:r>
            <w:r w:rsidR="008E4A71" w:rsidRPr="00044A9E">
              <w:rPr>
                <w:rFonts w:ascii="Arial" w:hAnsi="Arial" w:cs="Arial"/>
                <w:b/>
                <w:sz w:val="24"/>
                <w:lang w:eastAsia="en-GB"/>
              </w:rPr>
              <w:t>ember)</w:t>
            </w:r>
          </w:p>
          <w:p w14:paraId="094A288F" w14:textId="6E6CC547" w:rsidR="00F314DB" w:rsidRDefault="00044A9E" w:rsidP="00A759EC">
            <w:pPr>
              <w:rPr>
                <w:rFonts w:ascii="Arial" w:hAnsi="Arial" w:cs="Arial"/>
                <w:b/>
                <w:sz w:val="24"/>
                <w:lang w:eastAsia="en-GB"/>
              </w:rPr>
            </w:pPr>
            <w:r>
              <w:rPr>
                <w:rFonts w:ascii="Arial" w:hAnsi="Arial" w:cs="Arial"/>
                <w:b/>
                <w:sz w:val="24"/>
                <w:lang w:eastAsia="en-GB"/>
              </w:rPr>
              <w:t>James Marshall (Quality Assurance Manager)</w:t>
            </w:r>
          </w:p>
          <w:p w14:paraId="6C2FC1DE" w14:textId="38A9AFB6" w:rsidR="00044A9E" w:rsidRPr="00044A9E" w:rsidRDefault="00044A9E" w:rsidP="00A759EC">
            <w:pPr>
              <w:rPr>
                <w:rFonts w:ascii="Arial" w:hAnsi="Arial" w:cs="Arial"/>
                <w:b/>
                <w:sz w:val="24"/>
                <w:lang w:eastAsia="en-GB"/>
              </w:rPr>
            </w:pPr>
            <w:r w:rsidRPr="008E4CA1">
              <w:rPr>
                <w:rFonts w:ascii="Arial" w:hAnsi="Arial" w:cs="Arial"/>
                <w:b/>
                <w:sz w:val="24"/>
                <w:lang w:eastAsia="en-GB"/>
              </w:rPr>
              <w:t xml:space="preserve">David Zell (Education Quality Assurance </w:t>
            </w:r>
            <w:r w:rsidR="004B6B15" w:rsidRPr="008E4CA1">
              <w:rPr>
                <w:rFonts w:ascii="Arial" w:hAnsi="Arial" w:cs="Arial"/>
                <w:b/>
                <w:sz w:val="24"/>
                <w:lang w:eastAsia="en-GB"/>
              </w:rPr>
              <w:t>Officer</w:t>
            </w:r>
            <w:r w:rsidR="0019514A">
              <w:rPr>
                <w:rFonts w:ascii="Arial" w:hAnsi="Arial" w:cs="Arial"/>
                <w:b/>
                <w:sz w:val="24"/>
                <w:lang w:eastAsia="en-GB"/>
              </w:rPr>
              <w:t>) – programme inspection only</w:t>
            </w:r>
          </w:p>
          <w:p w14:paraId="544DE4E4" w14:textId="77777777" w:rsidR="008E4A71" w:rsidRPr="00044A9E" w:rsidRDefault="008E4A71" w:rsidP="00A759EC">
            <w:pPr>
              <w:rPr>
                <w:rFonts w:ascii="Arial" w:eastAsia="Times New Roman" w:hAnsi="Arial" w:cs="Arial"/>
                <w:b/>
                <w:smallCaps/>
                <w:sz w:val="24"/>
                <w:szCs w:val="24"/>
                <w:lang w:eastAsia="en-GB"/>
              </w:rPr>
            </w:pPr>
          </w:p>
        </w:tc>
      </w:tr>
      <w:tr w:rsidR="00671D27" w:rsidRPr="00044A9E" w14:paraId="0E0C9100" w14:textId="77777777" w:rsidTr="00A759EC">
        <w:tc>
          <w:tcPr>
            <w:tcW w:w="4106" w:type="dxa"/>
          </w:tcPr>
          <w:p w14:paraId="5424E9B4" w14:textId="0B32518D" w:rsidR="00671D27" w:rsidRPr="00044A9E" w:rsidRDefault="00671D27" w:rsidP="00A759EC">
            <w:pPr>
              <w:pStyle w:val="Heading2"/>
              <w:ind w:right="-424"/>
              <w:rPr>
                <w:rFonts w:cs="Arial"/>
                <w:b/>
                <w:sz w:val="24"/>
                <w:szCs w:val="24"/>
                <w:lang w:val="en-GB"/>
              </w:rPr>
            </w:pPr>
            <w:r w:rsidRPr="00044A9E">
              <w:rPr>
                <w:rFonts w:cs="Arial"/>
                <w:b/>
                <w:sz w:val="24"/>
                <w:szCs w:val="24"/>
                <w:lang w:val="en-GB"/>
              </w:rPr>
              <w:t>Report Produced by:</w:t>
            </w:r>
          </w:p>
        </w:tc>
        <w:tc>
          <w:tcPr>
            <w:tcW w:w="5372" w:type="dxa"/>
          </w:tcPr>
          <w:p w14:paraId="2726941B" w14:textId="3AD64E1C" w:rsidR="00671D27" w:rsidRPr="00044A9E" w:rsidRDefault="004B6B15" w:rsidP="00A759EC">
            <w:pPr>
              <w:rPr>
                <w:rFonts w:ascii="Arial" w:hAnsi="Arial" w:cs="Arial"/>
                <w:b/>
                <w:sz w:val="24"/>
                <w:lang w:eastAsia="en-GB"/>
              </w:rPr>
            </w:pPr>
            <w:r>
              <w:rPr>
                <w:rFonts w:ascii="Arial" w:hAnsi="Arial" w:cs="Arial"/>
                <w:b/>
                <w:sz w:val="24"/>
                <w:lang w:eastAsia="en-GB"/>
              </w:rPr>
              <w:t>James Marshall (Quality Assurance Manager)</w:t>
            </w:r>
          </w:p>
        </w:tc>
      </w:tr>
    </w:tbl>
    <w:p w14:paraId="16358435" w14:textId="77777777" w:rsidR="00E2148E" w:rsidRPr="00044A9E" w:rsidRDefault="00E2148E" w:rsidP="00E2148E">
      <w:pPr>
        <w:spacing w:after="240" w:line="240" w:lineRule="auto"/>
        <w:rPr>
          <w:rFonts w:ascii="Arial" w:hAnsi="Arial" w:cs="Arial"/>
        </w:rPr>
      </w:pPr>
    </w:p>
    <w:p w14:paraId="6B967A7D" w14:textId="77777777" w:rsidR="006F58B4" w:rsidRDefault="006F58B4" w:rsidP="00E2148E">
      <w:pPr>
        <w:spacing w:after="240" w:line="240" w:lineRule="auto"/>
        <w:rPr>
          <w:rFonts w:ascii="Arial" w:hAnsi="Arial" w:cs="Arial"/>
        </w:rPr>
      </w:pPr>
    </w:p>
    <w:p w14:paraId="405AAC2A" w14:textId="363E9CBF" w:rsidR="006F58B4" w:rsidRDefault="006F58B4" w:rsidP="00E2148E">
      <w:pPr>
        <w:spacing w:after="240" w:line="240" w:lineRule="auto"/>
        <w:rPr>
          <w:rFonts w:ascii="Arial" w:hAnsi="Arial" w:cs="Arial"/>
        </w:rPr>
      </w:pPr>
      <w:r w:rsidRPr="006F58B4">
        <w:rPr>
          <w:rFonts w:ascii="Arial" w:hAnsi="Arial" w:cs="Arial"/>
        </w:rPr>
        <w:t xml:space="preserve">The Centennial curriculum delivered by the University of Liverpool </w:t>
      </w:r>
      <w:r w:rsidR="00D67705">
        <w:rPr>
          <w:rFonts w:ascii="Arial" w:hAnsi="Arial" w:cs="Arial"/>
        </w:rPr>
        <w:t xml:space="preserve">School of Dentistry </w:t>
      </w:r>
      <w:r w:rsidRPr="006F58B4">
        <w:rPr>
          <w:rFonts w:ascii="Arial" w:hAnsi="Arial" w:cs="Arial"/>
        </w:rPr>
        <w:t xml:space="preserve">(hereafter referred to as ‘the School’) is an innovative programme that combines the education of dental therapists with dentists. Students enter </w:t>
      </w:r>
      <w:r w:rsidR="00984B4C">
        <w:rPr>
          <w:rFonts w:ascii="Arial" w:hAnsi="Arial" w:cs="Arial"/>
        </w:rPr>
        <w:t xml:space="preserve">separate </w:t>
      </w:r>
      <w:r w:rsidRPr="006F58B4">
        <w:rPr>
          <w:rFonts w:ascii="Arial" w:hAnsi="Arial" w:cs="Arial"/>
        </w:rPr>
        <w:t>programme</w:t>
      </w:r>
      <w:r w:rsidR="00984B4C">
        <w:rPr>
          <w:rFonts w:ascii="Arial" w:hAnsi="Arial" w:cs="Arial"/>
        </w:rPr>
        <w:t>s</w:t>
      </w:r>
      <w:r w:rsidRPr="006F58B4">
        <w:rPr>
          <w:rFonts w:ascii="Arial" w:hAnsi="Arial" w:cs="Arial"/>
        </w:rPr>
        <w:t xml:space="preserve"> for either the BDS or the BSc in Dental Therapy but are otherwise completely combined so that clinical experience, levels of supervision</w:t>
      </w:r>
      <w:r w:rsidR="00984B4C">
        <w:rPr>
          <w:rFonts w:ascii="Arial" w:hAnsi="Arial" w:cs="Arial"/>
        </w:rPr>
        <w:t>,</w:t>
      </w:r>
      <w:r w:rsidRPr="006F58B4">
        <w:rPr>
          <w:rFonts w:ascii="Arial" w:hAnsi="Arial" w:cs="Arial"/>
        </w:rPr>
        <w:t xml:space="preserve"> and teaching are absent of delineation.</w:t>
      </w:r>
    </w:p>
    <w:p w14:paraId="7D0B6BA4" w14:textId="09233D7C" w:rsidR="006F58B4" w:rsidRDefault="00FF1631" w:rsidP="00E2148E">
      <w:pPr>
        <w:spacing w:after="240" w:line="240" w:lineRule="auto"/>
        <w:rPr>
          <w:rFonts w:ascii="Arial" w:hAnsi="Arial" w:cs="Arial"/>
        </w:rPr>
      </w:pPr>
      <w:r>
        <w:rPr>
          <w:rFonts w:ascii="Arial" w:hAnsi="Arial" w:cs="Arial"/>
        </w:rPr>
        <w:t xml:space="preserve">The BSc in Dental Therapy element of the Centennial curriculum was inspected in </w:t>
      </w:r>
      <w:r w:rsidR="004E0A0E">
        <w:rPr>
          <w:rFonts w:ascii="Arial" w:hAnsi="Arial" w:cs="Arial"/>
        </w:rPr>
        <w:t xml:space="preserve">2022, at which point the first graduating cohort of dental therapists completed the programme. </w:t>
      </w:r>
      <w:r w:rsidR="009B6506">
        <w:rPr>
          <w:rFonts w:ascii="Arial" w:hAnsi="Arial" w:cs="Arial"/>
        </w:rPr>
        <w:t xml:space="preserve">The panel returned in 2024 to gain assurance that BDS students completing the final two years of the Centennial </w:t>
      </w:r>
      <w:r w:rsidR="00984B4C">
        <w:rPr>
          <w:rFonts w:ascii="Arial" w:hAnsi="Arial" w:cs="Arial"/>
        </w:rPr>
        <w:t xml:space="preserve">curriculum </w:t>
      </w:r>
      <w:r w:rsidR="00EC7C5F">
        <w:rPr>
          <w:rFonts w:ascii="Arial" w:hAnsi="Arial" w:cs="Arial"/>
        </w:rPr>
        <w:t xml:space="preserve">would have achieved the level of a safe beginner. </w:t>
      </w:r>
    </w:p>
    <w:p w14:paraId="0E62D4BC" w14:textId="79AB4D6A" w:rsidR="00B76725" w:rsidRDefault="00377E68" w:rsidP="00E2148E">
      <w:pPr>
        <w:spacing w:after="240" w:line="240" w:lineRule="auto"/>
        <w:rPr>
          <w:rFonts w:ascii="Arial" w:hAnsi="Arial" w:cs="Arial"/>
        </w:rPr>
      </w:pPr>
      <w:r>
        <w:rPr>
          <w:rFonts w:ascii="Arial" w:hAnsi="Arial" w:cs="Arial"/>
        </w:rPr>
        <w:t xml:space="preserve">Thanks to the clear and constructive leadership from </w:t>
      </w:r>
      <w:r w:rsidR="00070CB5">
        <w:rPr>
          <w:rFonts w:ascii="Arial" w:hAnsi="Arial" w:cs="Arial"/>
        </w:rPr>
        <w:t xml:space="preserve">the </w:t>
      </w:r>
      <w:r w:rsidR="00E459F9">
        <w:rPr>
          <w:rFonts w:ascii="Arial" w:hAnsi="Arial" w:cs="Arial"/>
        </w:rPr>
        <w:t xml:space="preserve">programme team, the panel agreed that </w:t>
      </w:r>
      <w:r w:rsidR="00537876">
        <w:rPr>
          <w:rFonts w:ascii="Arial" w:hAnsi="Arial" w:cs="Arial"/>
        </w:rPr>
        <w:t>a high quality of dental education was being delivered</w:t>
      </w:r>
      <w:r w:rsidR="00AE58FB">
        <w:rPr>
          <w:rFonts w:ascii="Arial" w:hAnsi="Arial" w:cs="Arial"/>
        </w:rPr>
        <w:t xml:space="preserve">. Students noted the receptiveness of </w:t>
      </w:r>
      <w:r w:rsidR="005B1C02">
        <w:rPr>
          <w:rFonts w:ascii="Arial" w:hAnsi="Arial" w:cs="Arial"/>
        </w:rPr>
        <w:t>senior leaders to make changes to the programme where required</w:t>
      </w:r>
      <w:r w:rsidR="00474A56">
        <w:rPr>
          <w:rFonts w:ascii="Arial" w:hAnsi="Arial" w:cs="Arial"/>
        </w:rPr>
        <w:t xml:space="preserve">, which enhanced their learning experience. </w:t>
      </w:r>
    </w:p>
    <w:p w14:paraId="0C57275D" w14:textId="663E3302" w:rsidR="00564251" w:rsidRPr="00044A9E" w:rsidRDefault="00564251" w:rsidP="00564251">
      <w:pPr>
        <w:spacing w:after="240" w:line="240" w:lineRule="auto"/>
        <w:rPr>
          <w:rFonts w:ascii="Arial" w:hAnsi="Arial" w:cs="Arial"/>
        </w:rPr>
      </w:pPr>
      <w:r w:rsidRPr="00044A9E">
        <w:rPr>
          <w:rFonts w:ascii="Arial" w:hAnsi="Arial" w:cs="Arial"/>
        </w:rPr>
        <w:lastRenderedPageBreak/>
        <w:t xml:space="preserve">The GDC wishes to thank the staff, students, and external stakeholders involved with the </w:t>
      </w:r>
      <w:r w:rsidR="004B6B15" w:rsidRPr="004B6B15">
        <w:rPr>
          <w:rFonts w:ascii="Arial" w:hAnsi="Arial" w:cs="Arial"/>
        </w:rPr>
        <w:t>University of Liverpool Bachelor of Dental Surgery programme</w:t>
      </w:r>
      <w:r w:rsidR="009642CA" w:rsidRPr="004B6B15">
        <w:rPr>
          <w:rFonts w:ascii="Arial" w:hAnsi="Arial" w:cs="Arial"/>
        </w:rPr>
        <w:t xml:space="preserve"> </w:t>
      </w:r>
      <w:r w:rsidRPr="004B6B15">
        <w:rPr>
          <w:rFonts w:ascii="Arial" w:hAnsi="Arial" w:cs="Arial"/>
        </w:rPr>
        <w:t>for</w:t>
      </w:r>
      <w:r w:rsidRPr="00044A9E">
        <w:rPr>
          <w:rFonts w:ascii="Arial" w:hAnsi="Arial" w:cs="Arial"/>
        </w:rPr>
        <w:t xml:space="preserve"> their co-operation and assistance with the inspection.</w:t>
      </w:r>
    </w:p>
    <w:p w14:paraId="35F3D784" w14:textId="77777777" w:rsidR="00767F91" w:rsidRPr="00044A9E" w:rsidRDefault="00767F91">
      <w:pPr>
        <w:rPr>
          <w:rFonts w:ascii="Arial" w:hAnsi="Arial" w:cs="Arial"/>
          <w:b/>
          <w:color w:val="244061"/>
          <w:sz w:val="28"/>
          <w:szCs w:val="28"/>
        </w:rPr>
      </w:pPr>
    </w:p>
    <w:p w14:paraId="2180ED29" w14:textId="77777777" w:rsidR="00767F91" w:rsidRPr="00044A9E" w:rsidRDefault="00767F91">
      <w:pPr>
        <w:rPr>
          <w:rFonts w:ascii="Arial" w:hAnsi="Arial" w:cs="Arial"/>
          <w:b/>
          <w:color w:val="244061"/>
          <w:sz w:val="28"/>
          <w:szCs w:val="28"/>
        </w:rPr>
      </w:pPr>
    </w:p>
    <w:p w14:paraId="5E5D8FF6" w14:textId="17B8A439" w:rsidR="00F671FD" w:rsidRPr="00044A9E" w:rsidRDefault="00F671FD">
      <w:pPr>
        <w:rPr>
          <w:rFonts w:ascii="Arial" w:hAnsi="Arial" w:cs="Arial"/>
          <w:b/>
          <w:color w:val="244061"/>
          <w:sz w:val="28"/>
          <w:szCs w:val="28"/>
        </w:rPr>
      </w:pPr>
      <w:r w:rsidRPr="00044A9E">
        <w:rPr>
          <w:rFonts w:ascii="Arial" w:hAnsi="Arial" w:cs="Arial"/>
          <w:b/>
          <w:color w:val="244061"/>
          <w:sz w:val="28"/>
          <w:szCs w:val="28"/>
        </w:rPr>
        <w:br w:type="page"/>
      </w:r>
    </w:p>
    <w:p w14:paraId="37C73F73" w14:textId="511B1E37" w:rsidR="00E2148E" w:rsidRPr="00044A9E" w:rsidRDefault="00E2148E" w:rsidP="00E2148E">
      <w:pPr>
        <w:rPr>
          <w:rFonts w:ascii="Arial" w:hAnsi="Arial" w:cs="Arial"/>
          <w:b/>
          <w:color w:val="244061"/>
          <w:sz w:val="28"/>
          <w:szCs w:val="28"/>
        </w:rPr>
      </w:pPr>
      <w:r w:rsidRPr="00044A9E">
        <w:rPr>
          <w:rFonts w:ascii="Arial" w:hAnsi="Arial" w:cs="Arial"/>
          <w:b/>
          <w:color w:val="244061"/>
          <w:sz w:val="28"/>
          <w:szCs w:val="28"/>
        </w:rPr>
        <w:lastRenderedPageBreak/>
        <w:t xml:space="preserve">Background and overview of </w:t>
      </w:r>
      <w:r w:rsidR="000957F1" w:rsidRPr="00044A9E">
        <w:rPr>
          <w:rFonts w:ascii="Arial" w:hAnsi="Arial" w:cs="Arial"/>
          <w:b/>
          <w:color w:val="244061"/>
          <w:sz w:val="28"/>
          <w:szCs w:val="28"/>
        </w:rPr>
        <w:t>q</w:t>
      </w:r>
      <w:r w:rsidRPr="00044A9E">
        <w:rPr>
          <w:rFonts w:ascii="Arial" w:hAnsi="Arial" w:cs="Arial"/>
          <w:b/>
          <w:color w:val="244061"/>
          <w:sz w:val="28"/>
          <w:szCs w:val="28"/>
        </w:rPr>
        <w:t xml:space="preserve">ualification </w:t>
      </w:r>
    </w:p>
    <w:tbl>
      <w:tblPr>
        <w:tblStyle w:val="TableGrid"/>
        <w:tblW w:w="0" w:type="auto"/>
        <w:tblLook w:val="04A0" w:firstRow="1" w:lastRow="0" w:firstColumn="1" w:lastColumn="0" w:noHBand="0" w:noVBand="1"/>
      </w:tblPr>
      <w:tblGrid>
        <w:gridCol w:w="2830"/>
        <w:gridCol w:w="6186"/>
      </w:tblGrid>
      <w:tr w:rsidR="00E2148E" w:rsidRPr="00044A9E" w14:paraId="0984E13C" w14:textId="77777777" w:rsidTr="00AC1360">
        <w:tc>
          <w:tcPr>
            <w:tcW w:w="2830" w:type="dxa"/>
          </w:tcPr>
          <w:p w14:paraId="71D9EAC0" w14:textId="77777777" w:rsidR="00E2148E" w:rsidRPr="00044A9E" w:rsidRDefault="00E2148E" w:rsidP="00A759EC">
            <w:pPr>
              <w:rPr>
                <w:rFonts w:ascii="Arial" w:hAnsi="Arial" w:cs="Arial"/>
              </w:rPr>
            </w:pPr>
            <w:r w:rsidRPr="00044A9E">
              <w:rPr>
                <w:rFonts w:ascii="Arial" w:hAnsi="Arial" w:cs="Arial"/>
              </w:rPr>
              <w:t>Annual intake</w:t>
            </w:r>
          </w:p>
        </w:tc>
        <w:tc>
          <w:tcPr>
            <w:tcW w:w="6186" w:type="dxa"/>
          </w:tcPr>
          <w:p w14:paraId="500FCEFF" w14:textId="78077600" w:rsidR="001D3C3E" w:rsidRPr="00044A9E" w:rsidRDefault="00245B6D" w:rsidP="00A759EC">
            <w:pPr>
              <w:rPr>
                <w:rFonts w:ascii="Arial" w:hAnsi="Arial" w:cs="Arial"/>
              </w:rPr>
            </w:pPr>
            <w:r>
              <w:rPr>
                <w:rFonts w:ascii="Arial" w:hAnsi="Arial" w:cs="Arial"/>
              </w:rPr>
              <w:t>7</w:t>
            </w:r>
            <w:r w:rsidR="00026E9C">
              <w:rPr>
                <w:rFonts w:ascii="Arial" w:hAnsi="Arial" w:cs="Arial"/>
              </w:rPr>
              <w:t>2</w:t>
            </w:r>
            <w:r>
              <w:rPr>
                <w:rFonts w:ascii="Arial" w:hAnsi="Arial" w:cs="Arial"/>
              </w:rPr>
              <w:t xml:space="preserve"> BDS students</w:t>
            </w:r>
          </w:p>
        </w:tc>
      </w:tr>
      <w:tr w:rsidR="00E2148E" w:rsidRPr="00044A9E" w14:paraId="21851DCB" w14:textId="77777777" w:rsidTr="00AC1360">
        <w:tc>
          <w:tcPr>
            <w:tcW w:w="2830" w:type="dxa"/>
          </w:tcPr>
          <w:p w14:paraId="49C1710B" w14:textId="77777777" w:rsidR="00E2148E" w:rsidRPr="00044A9E" w:rsidRDefault="00E2148E" w:rsidP="00A759EC">
            <w:pPr>
              <w:rPr>
                <w:rFonts w:ascii="Arial" w:hAnsi="Arial" w:cs="Arial"/>
              </w:rPr>
            </w:pPr>
            <w:r w:rsidRPr="00044A9E">
              <w:rPr>
                <w:rFonts w:ascii="Arial" w:hAnsi="Arial" w:cs="Arial"/>
              </w:rPr>
              <w:t>Programme duration</w:t>
            </w:r>
          </w:p>
        </w:tc>
        <w:tc>
          <w:tcPr>
            <w:tcW w:w="6186" w:type="dxa"/>
          </w:tcPr>
          <w:p w14:paraId="1D1AA052" w14:textId="6E7CD968" w:rsidR="00E2148E" w:rsidRPr="00044A9E" w:rsidRDefault="001D3C3E" w:rsidP="00A759EC">
            <w:pPr>
              <w:rPr>
                <w:rFonts w:ascii="Arial" w:hAnsi="Arial" w:cs="Arial"/>
              </w:rPr>
            </w:pPr>
            <w:r>
              <w:rPr>
                <w:rFonts w:ascii="Arial" w:hAnsi="Arial" w:cs="Arial"/>
              </w:rPr>
              <w:t>194</w:t>
            </w:r>
            <w:r w:rsidR="00E2148E" w:rsidRPr="00044A9E">
              <w:rPr>
                <w:rFonts w:ascii="Arial" w:hAnsi="Arial" w:cs="Arial"/>
              </w:rPr>
              <w:t xml:space="preserve"> weeks over </w:t>
            </w:r>
            <w:r>
              <w:rPr>
                <w:rFonts w:ascii="Arial" w:hAnsi="Arial" w:cs="Arial"/>
              </w:rPr>
              <w:t>5 years</w:t>
            </w:r>
          </w:p>
        </w:tc>
      </w:tr>
      <w:tr w:rsidR="00E2148E" w:rsidRPr="00044A9E" w14:paraId="66A1D4C6" w14:textId="77777777" w:rsidTr="00AC1360">
        <w:tc>
          <w:tcPr>
            <w:tcW w:w="2830" w:type="dxa"/>
          </w:tcPr>
          <w:p w14:paraId="0AD4AA79" w14:textId="77777777" w:rsidR="00E2148E" w:rsidRPr="00044A9E" w:rsidRDefault="00E2148E" w:rsidP="00A759EC">
            <w:pPr>
              <w:rPr>
                <w:rFonts w:ascii="Arial" w:hAnsi="Arial" w:cs="Arial"/>
              </w:rPr>
            </w:pPr>
            <w:r w:rsidRPr="00044A9E">
              <w:rPr>
                <w:rFonts w:ascii="Arial" w:hAnsi="Arial" w:cs="Arial"/>
              </w:rPr>
              <w:t>Format of programme</w:t>
            </w:r>
          </w:p>
        </w:tc>
        <w:tc>
          <w:tcPr>
            <w:tcW w:w="6186" w:type="dxa"/>
          </w:tcPr>
          <w:p w14:paraId="62C61F59" w14:textId="5FB9D4F9" w:rsidR="00E2148E" w:rsidRDefault="00E2148E" w:rsidP="00A759EC">
            <w:pPr>
              <w:rPr>
                <w:rFonts w:ascii="Arial" w:hAnsi="Arial" w:cs="Arial"/>
              </w:rPr>
            </w:pPr>
            <w:r w:rsidRPr="00044A9E">
              <w:rPr>
                <w:rFonts w:ascii="Arial" w:hAnsi="Arial" w:cs="Arial"/>
              </w:rPr>
              <w:t>Year</w:t>
            </w:r>
            <w:r w:rsidR="00E5532E">
              <w:rPr>
                <w:rFonts w:ascii="Arial" w:hAnsi="Arial" w:cs="Arial"/>
              </w:rPr>
              <w:t>:</w:t>
            </w:r>
          </w:p>
          <w:p w14:paraId="2451AD72" w14:textId="77777777" w:rsidR="007F34FB" w:rsidRPr="00044A9E" w:rsidRDefault="007F34FB" w:rsidP="00A759EC">
            <w:pPr>
              <w:rPr>
                <w:rFonts w:ascii="Arial" w:hAnsi="Arial" w:cs="Arial"/>
              </w:rPr>
            </w:pPr>
          </w:p>
          <w:p w14:paraId="5828058A" w14:textId="5A5A2810" w:rsidR="007F34FB" w:rsidRDefault="007F34FB" w:rsidP="00A759EC">
            <w:pPr>
              <w:rPr>
                <w:rFonts w:ascii="Arial" w:hAnsi="Arial" w:cs="Arial"/>
              </w:rPr>
            </w:pPr>
            <w:r w:rsidRPr="007F34FB">
              <w:rPr>
                <w:rFonts w:ascii="Arial" w:hAnsi="Arial" w:cs="Arial"/>
              </w:rPr>
              <w:t xml:space="preserve">1: </w:t>
            </w:r>
            <w:r w:rsidR="00795169">
              <w:rPr>
                <w:rFonts w:ascii="Arial" w:hAnsi="Arial" w:cs="Arial"/>
              </w:rPr>
              <w:t>K</w:t>
            </w:r>
            <w:r w:rsidRPr="007F34FB">
              <w:rPr>
                <w:rFonts w:ascii="Arial" w:hAnsi="Arial" w:cs="Arial"/>
              </w:rPr>
              <w:t>nowledge development (inc. clinical sciences), psychosocial skills development, comm</w:t>
            </w:r>
            <w:r>
              <w:rPr>
                <w:rFonts w:ascii="Arial" w:hAnsi="Arial" w:cs="Arial"/>
              </w:rPr>
              <w:t>unication</w:t>
            </w:r>
            <w:r w:rsidRPr="007F34FB">
              <w:rPr>
                <w:rFonts w:ascii="Arial" w:hAnsi="Arial" w:cs="Arial"/>
              </w:rPr>
              <w:t xml:space="preserve"> skills development, shadowing clinic attendance, simulated clinical experience, </w:t>
            </w:r>
            <w:r w:rsidR="00795169">
              <w:rPr>
                <w:rFonts w:ascii="Arial" w:hAnsi="Arial" w:cs="Arial"/>
              </w:rPr>
              <w:t xml:space="preserve">formal poster presentation, </w:t>
            </w:r>
            <w:r w:rsidRPr="007F34FB">
              <w:rPr>
                <w:rFonts w:ascii="Arial" w:hAnsi="Arial" w:cs="Arial"/>
              </w:rPr>
              <w:t xml:space="preserve">medical emergencies training, direct patient treatment (within therapy scope of practice) – prevention and basic periodontal management </w:t>
            </w:r>
          </w:p>
          <w:p w14:paraId="4D6E90CC" w14:textId="77777777" w:rsidR="007F34FB" w:rsidRDefault="007F34FB" w:rsidP="00A759EC">
            <w:pPr>
              <w:rPr>
                <w:rFonts w:ascii="Arial" w:hAnsi="Arial" w:cs="Arial"/>
              </w:rPr>
            </w:pPr>
          </w:p>
          <w:p w14:paraId="72019AF9" w14:textId="259CEB89" w:rsidR="007F34FB" w:rsidRDefault="007F34FB" w:rsidP="00A759EC">
            <w:pPr>
              <w:rPr>
                <w:rFonts w:ascii="Arial" w:hAnsi="Arial" w:cs="Arial"/>
              </w:rPr>
            </w:pPr>
            <w:r w:rsidRPr="007F34FB">
              <w:rPr>
                <w:rFonts w:ascii="Arial" w:hAnsi="Arial" w:cs="Arial"/>
              </w:rPr>
              <w:t xml:space="preserve">2: </w:t>
            </w:r>
            <w:r w:rsidR="00795169">
              <w:rPr>
                <w:rFonts w:ascii="Arial" w:hAnsi="Arial" w:cs="Arial"/>
              </w:rPr>
              <w:t>K</w:t>
            </w:r>
            <w:r w:rsidRPr="007F34FB">
              <w:rPr>
                <w:rFonts w:ascii="Arial" w:hAnsi="Arial" w:cs="Arial"/>
              </w:rPr>
              <w:t>nowledge development (inc. clinical sciences), psychosocial skills development, comm</w:t>
            </w:r>
            <w:r w:rsidR="00795169">
              <w:rPr>
                <w:rFonts w:ascii="Arial" w:hAnsi="Arial" w:cs="Arial"/>
              </w:rPr>
              <w:t>unication</w:t>
            </w:r>
            <w:r w:rsidRPr="007F34FB">
              <w:rPr>
                <w:rFonts w:ascii="Arial" w:hAnsi="Arial" w:cs="Arial"/>
              </w:rPr>
              <w:t xml:space="preserve"> skills development, shadowing clinic attendance, simulated clinical experience, </w:t>
            </w:r>
            <w:r w:rsidR="00795169">
              <w:rPr>
                <w:rFonts w:ascii="Arial" w:hAnsi="Arial" w:cs="Arial"/>
              </w:rPr>
              <w:t xml:space="preserve">formal dental public health project, </w:t>
            </w:r>
            <w:r w:rsidRPr="007F34FB">
              <w:rPr>
                <w:rFonts w:ascii="Arial" w:hAnsi="Arial" w:cs="Arial"/>
              </w:rPr>
              <w:t xml:space="preserve">medical emergencies training, radiography, direct patient treatment (within therapy scope of practice) – prevention, full periodontal management, direct restorations, caries management in primary teeth, paediatric extractions, relevant oral medicine. </w:t>
            </w:r>
          </w:p>
          <w:p w14:paraId="312BE883" w14:textId="77777777" w:rsidR="007F34FB" w:rsidRDefault="007F34FB" w:rsidP="00A759EC">
            <w:pPr>
              <w:rPr>
                <w:rFonts w:ascii="Arial" w:hAnsi="Arial" w:cs="Arial"/>
              </w:rPr>
            </w:pPr>
          </w:p>
          <w:p w14:paraId="4765E4D3" w14:textId="66B85262" w:rsidR="007F34FB" w:rsidRDefault="007F34FB" w:rsidP="00A759EC">
            <w:pPr>
              <w:rPr>
                <w:rFonts w:ascii="Arial" w:hAnsi="Arial" w:cs="Arial"/>
              </w:rPr>
            </w:pPr>
            <w:r w:rsidRPr="007F34FB">
              <w:rPr>
                <w:rFonts w:ascii="Arial" w:hAnsi="Arial" w:cs="Arial"/>
              </w:rPr>
              <w:t xml:space="preserve">3: </w:t>
            </w:r>
            <w:r w:rsidR="00795169">
              <w:rPr>
                <w:rFonts w:ascii="Arial" w:hAnsi="Arial" w:cs="Arial"/>
              </w:rPr>
              <w:t>K</w:t>
            </w:r>
            <w:r w:rsidRPr="007F34FB">
              <w:rPr>
                <w:rFonts w:ascii="Arial" w:hAnsi="Arial" w:cs="Arial"/>
              </w:rPr>
              <w:t>nowledge development (inc. clinical sciences),</w:t>
            </w:r>
            <w:r>
              <w:rPr>
                <w:rFonts w:ascii="Arial" w:hAnsi="Arial" w:cs="Arial"/>
              </w:rPr>
              <w:t xml:space="preserve"> </w:t>
            </w:r>
            <w:r w:rsidRPr="007F34FB">
              <w:rPr>
                <w:rFonts w:ascii="Arial" w:hAnsi="Arial" w:cs="Arial"/>
              </w:rPr>
              <w:t xml:space="preserve">psychosocial skills development, shadowing clinic attendance, simulated clinical experience, outreach experience, radiography, research project, direct patient treatment – full scope of therapy practice </w:t>
            </w:r>
          </w:p>
          <w:p w14:paraId="0E15CDB6" w14:textId="77777777" w:rsidR="007F34FB" w:rsidRDefault="007F34FB" w:rsidP="00A759EC">
            <w:pPr>
              <w:rPr>
                <w:rFonts w:ascii="Arial" w:hAnsi="Arial" w:cs="Arial"/>
              </w:rPr>
            </w:pPr>
          </w:p>
          <w:p w14:paraId="3DF7929D" w14:textId="7437552E" w:rsidR="007F34FB" w:rsidRDefault="007F34FB" w:rsidP="00A759EC">
            <w:pPr>
              <w:rPr>
                <w:rFonts w:ascii="Arial" w:hAnsi="Arial" w:cs="Arial"/>
              </w:rPr>
            </w:pPr>
            <w:r w:rsidRPr="007F34FB">
              <w:rPr>
                <w:rFonts w:ascii="Arial" w:hAnsi="Arial" w:cs="Arial"/>
              </w:rPr>
              <w:t xml:space="preserve">4. </w:t>
            </w:r>
            <w:r w:rsidR="00795169">
              <w:rPr>
                <w:rFonts w:ascii="Arial" w:hAnsi="Arial" w:cs="Arial"/>
              </w:rPr>
              <w:t>K</w:t>
            </w:r>
            <w:r w:rsidRPr="007F34FB">
              <w:rPr>
                <w:rFonts w:ascii="Arial" w:hAnsi="Arial" w:cs="Arial"/>
              </w:rPr>
              <w:t xml:space="preserve">nowledge development, psychosocial skills development, shadowing clinic attendance, simulated clinical experience, medical emergencies training, direct patient treatment (dentistry scope of practice) – prevention, full periodontal management, direct restorations, caries management in primary teeth, fixed and removable prosthodontics, endodontics, radiography, orthodontics, paediatric and adult extractions, oral medicine outreach experience. </w:t>
            </w:r>
          </w:p>
          <w:p w14:paraId="53B1E5DF" w14:textId="77777777" w:rsidR="007F34FB" w:rsidRDefault="007F34FB" w:rsidP="00A759EC">
            <w:pPr>
              <w:rPr>
                <w:rFonts w:ascii="Arial" w:hAnsi="Arial" w:cs="Arial"/>
              </w:rPr>
            </w:pPr>
          </w:p>
          <w:p w14:paraId="1FA51515" w14:textId="7D34A1CF" w:rsidR="007F34FB" w:rsidRPr="00044A9E" w:rsidRDefault="007F34FB" w:rsidP="00A759EC">
            <w:pPr>
              <w:rPr>
                <w:rFonts w:ascii="Arial" w:hAnsi="Arial" w:cs="Arial"/>
              </w:rPr>
            </w:pPr>
            <w:r w:rsidRPr="007F34FB">
              <w:rPr>
                <w:rFonts w:ascii="Arial" w:hAnsi="Arial" w:cs="Arial"/>
              </w:rPr>
              <w:t xml:space="preserve">5. </w:t>
            </w:r>
            <w:r w:rsidR="00795169">
              <w:rPr>
                <w:rFonts w:ascii="Arial" w:hAnsi="Arial" w:cs="Arial"/>
              </w:rPr>
              <w:t>K</w:t>
            </w:r>
            <w:r w:rsidRPr="007F34FB">
              <w:rPr>
                <w:rFonts w:ascii="Arial" w:hAnsi="Arial" w:cs="Arial"/>
              </w:rPr>
              <w:t>nowledge consolidation, psychosocial skills consolidation, shadowing clinic attendance, simulated clinical experience, medical emergencies training, outreach experience, quality improvement project, radiography, direct patient treatment – full scope of dental practice</w:t>
            </w:r>
          </w:p>
          <w:p w14:paraId="41514A72" w14:textId="744FC371" w:rsidR="00E5532E" w:rsidRPr="00044A9E" w:rsidRDefault="00E5532E" w:rsidP="00A759EC">
            <w:pPr>
              <w:rPr>
                <w:rFonts w:ascii="Arial" w:hAnsi="Arial" w:cs="Arial"/>
              </w:rPr>
            </w:pPr>
          </w:p>
        </w:tc>
      </w:tr>
      <w:tr w:rsidR="00E2148E" w:rsidRPr="00044A9E" w14:paraId="6266D366" w14:textId="77777777" w:rsidTr="00AC1360">
        <w:tc>
          <w:tcPr>
            <w:tcW w:w="2830" w:type="dxa"/>
          </w:tcPr>
          <w:p w14:paraId="696C9634" w14:textId="4CB68B22" w:rsidR="00E2148E" w:rsidRPr="00044A9E" w:rsidRDefault="00E2148E" w:rsidP="00A759EC">
            <w:pPr>
              <w:rPr>
                <w:rFonts w:ascii="Arial" w:hAnsi="Arial" w:cs="Arial"/>
              </w:rPr>
            </w:pPr>
            <w:r w:rsidRPr="00044A9E">
              <w:rPr>
                <w:rFonts w:ascii="Arial" w:hAnsi="Arial" w:cs="Arial"/>
              </w:rPr>
              <w:t>Number of providers delivering the programme</w:t>
            </w:r>
            <w:r w:rsidR="00DB0397" w:rsidRPr="00044A9E">
              <w:rPr>
                <w:rFonts w:ascii="Arial" w:hAnsi="Arial" w:cs="Arial"/>
              </w:rPr>
              <w:t xml:space="preserve"> </w:t>
            </w:r>
          </w:p>
        </w:tc>
        <w:tc>
          <w:tcPr>
            <w:tcW w:w="6186" w:type="dxa"/>
          </w:tcPr>
          <w:p w14:paraId="05CB46C6" w14:textId="34DDEA13" w:rsidR="00E2148E" w:rsidRPr="00044A9E" w:rsidRDefault="00245B6D" w:rsidP="00A759EC">
            <w:pPr>
              <w:rPr>
                <w:rFonts w:ascii="Arial" w:hAnsi="Arial" w:cs="Arial"/>
              </w:rPr>
            </w:pPr>
            <w:r>
              <w:rPr>
                <w:rFonts w:ascii="Arial" w:hAnsi="Arial" w:cs="Arial"/>
              </w:rPr>
              <w:t xml:space="preserve">One; </w:t>
            </w:r>
            <w:r w:rsidRPr="00245B6D">
              <w:rPr>
                <w:rFonts w:ascii="Arial" w:hAnsi="Arial" w:cs="Arial"/>
              </w:rPr>
              <w:t>University of Liverpool School of Dentistry</w:t>
            </w:r>
            <w:r w:rsidRPr="00245B6D" w:rsidDel="00245B6D">
              <w:rPr>
                <w:rFonts w:ascii="Arial" w:hAnsi="Arial" w:cs="Arial"/>
              </w:rPr>
              <w:t xml:space="preserve"> </w:t>
            </w:r>
          </w:p>
        </w:tc>
      </w:tr>
    </w:tbl>
    <w:p w14:paraId="1DC8D61C" w14:textId="77777777" w:rsidR="00E2148E" w:rsidRPr="00044A9E" w:rsidRDefault="00E2148E" w:rsidP="00E2148E">
      <w:pPr>
        <w:spacing w:after="240" w:line="240" w:lineRule="auto"/>
        <w:rPr>
          <w:rFonts w:ascii="Arial" w:hAnsi="Arial" w:cs="Arial"/>
        </w:rPr>
      </w:pPr>
    </w:p>
    <w:p w14:paraId="47398EDA" w14:textId="77777777" w:rsidR="00E2148E" w:rsidRPr="00044A9E" w:rsidRDefault="00E2148E" w:rsidP="00E2148E">
      <w:pPr>
        <w:rPr>
          <w:rFonts w:ascii="Arial" w:hAnsi="Arial" w:cs="Arial"/>
        </w:rPr>
      </w:pPr>
      <w:r w:rsidRPr="00044A9E">
        <w:rPr>
          <w:rFonts w:ascii="Arial" w:hAnsi="Arial" w:cs="Arial"/>
        </w:rPr>
        <w:br w:type="page"/>
      </w:r>
    </w:p>
    <w:p w14:paraId="6F542D3F" w14:textId="0DF7EEA0" w:rsidR="000957F1" w:rsidRPr="00044A9E" w:rsidRDefault="00F671FD" w:rsidP="00E2148E">
      <w:pPr>
        <w:rPr>
          <w:rFonts w:ascii="Arial" w:hAnsi="Arial" w:cs="Arial"/>
          <w:color w:val="1F3864" w:themeColor="accent1" w:themeShade="80"/>
          <w:sz w:val="24"/>
        </w:rPr>
      </w:pPr>
      <w:r w:rsidRPr="00044A9E">
        <w:rPr>
          <w:rFonts w:ascii="Arial" w:hAnsi="Arial" w:cs="Arial"/>
          <w:b/>
          <w:color w:val="1F3864" w:themeColor="accent1" w:themeShade="80"/>
          <w:sz w:val="28"/>
        </w:rPr>
        <w:lastRenderedPageBreak/>
        <w:t>Outcome of relevant Requirements</w:t>
      </w:r>
      <w:r w:rsidRPr="00044A9E">
        <w:rPr>
          <w:rStyle w:val="FootnoteReference"/>
          <w:rFonts w:ascii="Arial" w:hAnsi="Arial" w:cs="Arial"/>
          <w:b/>
          <w:color w:val="1F3864" w:themeColor="accent1" w:themeShade="80"/>
          <w:sz w:val="28"/>
        </w:rPr>
        <w:footnoteReference w:id="2"/>
      </w:r>
    </w:p>
    <w:tbl>
      <w:tblPr>
        <w:tblStyle w:val="TableGrid"/>
        <w:tblW w:w="0" w:type="auto"/>
        <w:tblLook w:val="04A0" w:firstRow="1" w:lastRow="0" w:firstColumn="1" w:lastColumn="0" w:noHBand="0" w:noVBand="1"/>
      </w:tblPr>
      <w:tblGrid>
        <w:gridCol w:w="4508"/>
        <w:gridCol w:w="4508"/>
      </w:tblGrid>
      <w:tr w:rsidR="00E2148E" w:rsidRPr="00044A9E" w14:paraId="76A828C8" w14:textId="77777777" w:rsidTr="00A759EC">
        <w:tc>
          <w:tcPr>
            <w:tcW w:w="9016" w:type="dxa"/>
            <w:gridSpan w:val="2"/>
            <w:shd w:val="clear" w:color="auto" w:fill="D9D9D9" w:themeFill="background1" w:themeFillShade="D9"/>
          </w:tcPr>
          <w:p w14:paraId="5C45A3C2" w14:textId="77777777" w:rsidR="00E2148E" w:rsidRPr="00044A9E" w:rsidRDefault="00E2148E" w:rsidP="00A759EC">
            <w:pPr>
              <w:jc w:val="center"/>
              <w:rPr>
                <w:rFonts w:ascii="Arial" w:hAnsi="Arial" w:cs="Arial"/>
                <w:b/>
              </w:rPr>
            </w:pPr>
            <w:r w:rsidRPr="00044A9E">
              <w:rPr>
                <w:rFonts w:ascii="Arial" w:hAnsi="Arial" w:cs="Arial"/>
                <w:b/>
              </w:rPr>
              <w:t>Standard One</w:t>
            </w:r>
          </w:p>
        </w:tc>
      </w:tr>
      <w:tr w:rsidR="00E2148E" w:rsidRPr="00044A9E" w14:paraId="22928EA9" w14:textId="77777777" w:rsidTr="00A759EC">
        <w:trPr>
          <w:trHeight w:val="565"/>
        </w:trPr>
        <w:tc>
          <w:tcPr>
            <w:tcW w:w="4508" w:type="dxa"/>
          </w:tcPr>
          <w:p w14:paraId="2C3182A9" w14:textId="77777777" w:rsidR="00E2148E" w:rsidRPr="00044A9E" w:rsidRDefault="00E2148E" w:rsidP="00A759EC">
            <w:pPr>
              <w:spacing w:line="276" w:lineRule="auto"/>
              <w:jc w:val="center"/>
              <w:rPr>
                <w:rFonts w:ascii="Arial" w:hAnsi="Arial" w:cs="Arial"/>
              </w:rPr>
            </w:pPr>
            <w:r w:rsidRPr="00044A9E">
              <w:rPr>
                <w:rFonts w:ascii="Arial" w:hAnsi="Arial" w:cs="Arial"/>
              </w:rPr>
              <w:t>1</w:t>
            </w:r>
          </w:p>
          <w:p w14:paraId="026E4692" w14:textId="77777777" w:rsidR="00E2148E" w:rsidRPr="00044A9E" w:rsidRDefault="00E2148E" w:rsidP="00A759EC">
            <w:pPr>
              <w:spacing w:line="276" w:lineRule="auto"/>
              <w:jc w:val="center"/>
              <w:rPr>
                <w:rFonts w:ascii="Arial" w:hAnsi="Arial" w:cs="Arial"/>
              </w:rPr>
            </w:pPr>
          </w:p>
        </w:tc>
        <w:tc>
          <w:tcPr>
            <w:tcW w:w="4508" w:type="dxa"/>
          </w:tcPr>
          <w:p w14:paraId="65B70E88" w14:textId="52C39120" w:rsidR="00E2148E" w:rsidRPr="00044A9E" w:rsidRDefault="00DD6406" w:rsidP="00A759EC">
            <w:pPr>
              <w:jc w:val="center"/>
              <w:rPr>
                <w:rFonts w:ascii="Arial" w:hAnsi="Arial" w:cs="Arial"/>
              </w:rPr>
            </w:pPr>
            <w:r w:rsidRPr="00044A9E">
              <w:rPr>
                <w:rFonts w:ascii="Arial" w:hAnsi="Arial" w:cs="Arial"/>
              </w:rPr>
              <w:t>Met</w:t>
            </w:r>
          </w:p>
          <w:p w14:paraId="5B95F2DA" w14:textId="38393E7E" w:rsidR="00143716" w:rsidRPr="00044A9E" w:rsidRDefault="00143716" w:rsidP="00A759EC">
            <w:pPr>
              <w:jc w:val="center"/>
              <w:rPr>
                <w:rFonts w:ascii="Arial" w:hAnsi="Arial" w:cs="Arial"/>
              </w:rPr>
            </w:pPr>
          </w:p>
        </w:tc>
      </w:tr>
      <w:tr w:rsidR="00E2148E" w:rsidRPr="00044A9E" w14:paraId="63DA87C0" w14:textId="77777777" w:rsidTr="00A759EC">
        <w:tc>
          <w:tcPr>
            <w:tcW w:w="4508" w:type="dxa"/>
          </w:tcPr>
          <w:p w14:paraId="6B779E5E" w14:textId="77777777" w:rsidR="00E2148E" w:rsidRPr="00044A9E" w:rsidRDefault="00E2148E" w:rsidP="00A759EC">
            <w:pPr>
              <w:jc w:val="center"/>
              <w:rPr>
                <w:rFonts w:ascii="Arial" w:hAnsi="Arial" w:cs="Arial"/>
              </w:rPr>
            </w:pPr>
            <w:r w:rsidRPr="00044A9E">
              <w:rPr>
                <w:rFonts w:ascii="Arial" w:hAnsi="Arial" w:cs="Arial"/>
              </w:rPr>
              <w:t>2</w:t>
            </w:r>
          </w:p>
          <w:p w14:paraId="67036618" w14:textId="77777777" w:rsidR="00E2148E" w:rsidRPr="00044A9E" w:rsidRDefault="00E2148E" w:rsidP="00A759EC">
            <w:pPr>
              <w:jc w:val="center"/>
              <w:rPr>
                <w:rFonts w:ascii="Arial" w:hAnsi="Arial" w:cs="Arial"/>
              </w:rPr>
            </w:pPr>
          </w:p>
        </w:tc>
        <w:tc>
          <w:tcPr>
            <w:tcW w:w="4508" w:type="dxa"/>
          </w:tcPr>
          <w:p w14:paraId="26CF11CE" w14:textId="5F44CE96" w:rsidR="004B6B15" w:rsidRPr="00044A9E" w:rsidRDefault="00143716" w:rsidP="004B6B15">
            <w:pPr>
              <w:jc w:val="center"/>
              <w:rPr>
                <w:rFonts w:ascii="Arial" w:hAnsi="Arial" w:cs="Arial"/>
              </w:rPr>
            </w:pPr>
            <w:r w:rsidRPr="00044A9E">
              <w:rPr>
                <w:rFonts w:ascii="Arial" w:hAnsi="Arial" w:cs="Arial"/>
              </w:rPr>
              <w:t>Met</w:t>
            </w:r>
          </w:p>
          <w:p w14:paraId="0870A0EE" w14:textId="412CB0A6" w:rsidR="00E2148E" w:rsidRPr="00044A9E" w:rsidRDefault="00E2148E" w:rsidP="00143716">
            <w:pPr>
              <w:jc w:val="center"/>
              <w:rPr>
                <w:rFonts w:ascii="Arial" w:hAnsi="Arial" w:cs="Arial"/>
              </w:rPr>
            </w:pPr>
          </w:p>
        </w:tc>
      </w:tr>
      <w:tr w:rsidR="00E2148E" w:rsidRPr="00044A9E" w14:paraId="28AEE4FA" w14:textId="77777777" w:rsidTr="00A759EC">
        <w:tc>
          <w:tcPr>
            <w:tcW w:w="4508" w:type="dxa"/>
          </w:tcPr>
          <w:p w14:paraId="5196C0EB" w14:textId="77777777" w:rsidR="00E2148E" w:rsidRPr="00044A9E" w:rsidRDefault="00E2148E" w:rsidP="00A759EC">
            <w:pPr>
              <w:jc w:val="center"/>
              <w:rPr>
                <w:rFonts w:ascii="Arial" w:hAnsi="Arial" w:cs="Arial"/>
              </w:rPr>
            </w:pPr>
            <w:r w:rsidRPr="00044A9E">
              <w:rPr>
                <w:rFonts w:ascii="Arial" w:hAnsi="Arial" w:cs="Arial"/>
              </w:rPr>
              <w:t>3</w:t>
            </w:r>
          </w:p>
          <w:p w14:paraId="1F73CDFE" w14:textId="77777777" w:rsidR="00E2148E" w:rsidRPr="00044A9E" w:rsidRDefault="00E2148E" w:rsidP="00A759EC">
            <w:pPr>
              <w:jc w:val="center"/>
              <w:rPr>
                <w:rFonts w:ascii="Arial" w:hAnsi="Arial" w:cs="Arial"/>
              </w:rPr>
            </w:pPr>
          </w:p>
        </w:tc>
        <w:tc>
          <w:tcPr>
            <w:tcW w:w="4508" w:type="dxa"/>
          </w:tcPr>
          <w:p w14:paraId="7D51F3D7" w14:textId="693EFB8B" w:rsidR="004B6B15" w:rsidRPr="00044A9E" w:rsidRDefault="00143716" w:rsidP="004B6B15">
            <w:pPr>
              <w:jc w:val="center"/>
              <w:rPr>
                <w:rFonts w:ascii="Arial" w:hAnsi="Arial" w:cs="Arial"/>
              </w:rPr>
            </w:pPr>
            <w:r w:rsidRPr="00044A9E">
              <w:rPr>
                <w:rFonts w:ascii="Arial" w:hAnsi="Arial" w:cs="Arial"/>
              </w:rPr>
              <w:t>Met</w:t>
            </w:r>
          </w:p>
          <w:p w14:paraId="38B23BDA" w14:textId="2D6F8615" w:rsidR="00E2148E" w:rsidRPr="00044A9E" w:rsidRDefault="00E2148E" w:rsidP="00143716">
            <w:pPr>
              <w:jc w:val="center"/>
              <w:rPr>
                <w:rFonts w:ascii="Arial" w:hAnsi="Arial" w:cs="Arial"/>
              </w:rPr>
            </w:pPr>
          </w:p>
        </w:tc>
      </w:tr>
      <w:tr w:rsidR="00E2148E" w:rsidRPr="00044A9E" w14:paraId="64B00FE0" w14:textId="77777777" w:rsidTr="00A759EC">
        <w:tc>
          <w:tcPr>
            <w:tcW w:w="4508" w:type="dxa"/>
          </w:tcPr>
          <w:p w14:paraId="589308EF" w14:textId="77777777" w:rsidR="00E2148E" w:rsidRPr="00044A9E" w:rsidRDefault="00E2148E" w:rsidP="00A759EC">
            <w:pPr>
              <w:jc w:val="center"/>
              <w:rPr>
                <w:rFonts w:ascii="Arial" w:hAnsi="Arial" w:cs="Arial"/>
              </w:rPr>
            </w:pPr>
            <w:r w:rsidRPr="00044A9E">
              <w:rPr>
                <w:rFonts w:ascii="Arial" w:hAnsi="Arial" w:cs="Arial"/>
              </w:rPr>
              <w:t>4</w:t>
            </w:r>
          </w:p>
          <w:p w14:paraId="1BCAA8EB" w14:textId="77777777" w:rsidR="00E2148E" w:rsidRPr="00044A9E" w:rsidRDefault="00E2148E" w:rsidP="00A759EC">
            <w:pPr>
              <w:jc w:val="center"/>
              <w:rPr>
                <w:rFonts w:ascii="Arial" w:hAnsi="Arial" w:cs="Arial"/>
              </w:rPr>
            </w:pPr>
          </w:p>
        </w:tc>
        <w:tc>
          <w:tcPr>
            <w:tcW w:w="4508" w:type="dxa"/>
          </w:tcPr>
          <w:p w14:paraId="628C5758" w14:textId="2A51C1C9" w:rsidR="004B6B15" w:rsidRPr="00044A9E" w:rsidRDefault="00143716" w:rsidP="004B6B15">
            <w:pPr>
              <w:jc w:val="center"/>
              <w:rPr>
                <w:rFonts w:ascii="Arial" w:hAnsi="Arial" w:cs="Arial"/>
              </w:rPr>
            </w:pPr>
            <w:r w:rsidRPr="00044A9E">
              <w:rPr>
                <w:rFonts w:ascii="Arial" w:hAnsi="Arial" w:cs="Arial"/>
              </w:rPr>
              <w:t>Met</w:t>
            </w:r>
          </w:p>
          <w:p w14:paraId="48BF0F05" w14:textId="17040306" w:rsidR="00E2148E" w:rsidRPr="00044A9E" w:rsidRDefault="00E2148E" w:rsidP="00143716">
            <w:pPr>
              <w:jc w:val="center"/>
              <w:rPr>
                <w:rFonts w:ascii="Arial" w:hAnsi="Arial" w:cs="Arial"/>
              </w:rPr>
            </w:pPr>
          </w:p>
        </w:tc>
      </w:tr>
      <w:tr w:rsidR="00E2148E" w:rsidRPr="00044A9E" w14:paraId="6F2A68B8" w14:textId="77777777" w:rsidTr="00A759EC">
        <w:tc>
          <w:tcPr>
            <w:tcW w:w="4508" w:type="dxa"/>
          </w:tcPr>
          <w:p w14:paraId="515DF524" w14:textId="77777777" w:rsidR="00E2148E" w:rsidRPr="00044A9E" w:rsidRDefault="00E2148E" w:rsidP="00A759EC">
            <w:pPr>
              <w:jc w:val="center"/>
              <w:rPr>
                <w:rFonts w:ascii="Arial" w:hAnsi="Arial" w:cs="Arial"/>
              </w:rPr>
            </w:pPr>
            <w:r w:rsidRPr="00044A9E">
              <w:rPr>
                <w:rFonts w:ascii="Arial" w:hAnsi="Arial" w:cs="Arial"/>
              </w:rPr>
              <w:t>5</w:t>
            </w:r>
          </w:p>
          <w:p w14:paraId="1C924E15" w14:textId="77777777" w:rsidR="00E2148E" w:rsidRPr="00044A9E" w:rsidRDefault="00E2148E" w:rsidP="00A759EC">
            <w:pPr>
              <w:jc w:val="center"/>
              <w:rPr>
                <w:rFonts w:ascii="Arial" w:hAnsi="Arial" w:cs="Arial"/>
              </w:rPr>
            </w:pPr>
          </w:p>
        </w:tc>
        <w:tc>
          <w:tcPr>
            <w:tcW w:w="4508" w:type="dxa"/>
          </w:tcPr>
          <w:p w14:paraId="36B00761" w14:textId="2229E513" w:rsidR="004B6B15" w:rsidRPr="00044A9E" w:rsidRDefault="00143716" w:rsidP="004B6B15">
            <w:pPr>
              <w:jc w:val="center"/>
              <w:rPr>
                <w:rFonts w:ascii="Arial" w:hAnsi="Arial" w:cs="Arial"/>
              </w:rPr>
            </w:pPr>
            <w:r w:rsidRPr="00044A9E">
              <w:rPr>
                <w:rFonts w:ascii="Arial" w:hAnsi="Arial" w:cs="Arial"/>
              </w:rPr>
              <w:t>Met</w:t>
            </w:r>
          </w:p>
          <w:p w14:paraId="33CA339A" w14:textId="285F9A8D" w:rsidR="00E2148E" w:rsidRPr="00044A9E" w:rsidRDefault="00E2148E" w:rsidP="00143716">
            <w:pPr>
              <w:jc w:val="center"/>
              <w:rPr>
                <w:rFonts w:ascii="Arial" w:hAnsi="Arial" w:cs="Arial"/>
              </w:rPr>
            </w:pPr>
          </w:p>
        </w:tc>
      </w:tr>
      <w:tr w:rsidR="00E2148E" w:rsidRPr="00044A9E" w14:paraId="0FB97D48" w14:textId="77777777" w:rsidTr="00A759EC">
        <w:tc>
          <w:tcPr>
            <w:tcW w:w="4508" w:type="dxa"/>
          </w:tcPr>
          <w:p w14:paraId="49004983" w14:textId="77777777" w:rsidR="00E2148E" w:rsidRPr="00044A9E" w:rsidRDefault="00E2148E" w:rsidP="00A759EC">
            <w:pPr>
              <w:jc w:val="center"/>
              <w:rPr>
                <w:rFonts w:ascii="Arial" w:hAnsi="Arial" w:cs="Arial"/>
              </w:rPr>
            </w:pPr>
            <w:r w:rsidRPr="00044A9E">
              <w:rPr>
                <w:rFonts w:ascii="Arial" w:hAnsi="Arial" w:cs="Arial"/>
              </w:rPr>
              <w:t>6</w:t>
            </w:r>
          </w:p>
          <w:p w14:paraId="2B110B5F" w14:textId="77777777" w:rsidR="00E2148E" w:rsidRPr="00044A9E" w:rsidRDefault="00E2148E" w:rsidP="00A759EC">
            <w:pPr>
              <w:jc w:val="center"/>
              <w:rPr>
                <w:rFonts w:ascii="Arial" w:hAnsi="Arial" w:cs="Arial"/>
              </w:rPr>
            </w:pPr>
          </w:p>
        </w:tc>
        <w:tc>
          <w:tcPr>
            <w:tcW w:w="4508" w:type="dxa"/>
          </w:tcPr>
          <w:p w14:paraId="2396A11F" w14:textId="715AE2F5" w:rsidR="004B6B15" w:rsidRPr="00044A9E" w:rsidRDefault="00143716" w:rsidP="004B6B15">
            <w:pPr>
              <w:jc w:val="center"/>
              <w:rPr>
                <w:rFonts w:ascii="Arial" w:hAnsi="Arial" w:cs="Arial"/>
              </w:rPr>
            </w:pPr>
            <w:r w:rsidRPr="00044A9E">
              <w:rPr>
                <w:rFonts w:ascii="Arial" w:hAnsi="Arial" w:cs="Arial"/>
              </w:rPr>
              <w:t>Met</w:t>
            </w:r>
          </w:p>
          <w:p w14:paraId="47EDFAC0" w14:textId="3F83CE28" w:rsidR="00E2148E" w:rsidRPr="00044A9E" w:rsidRDefault="00E2148E" w:rsidP="00143716">
            <w:pPr>
              <w:jc w:val="center"/>
              <w:rPr>
                <w:rFonts w:ascii="Arial" w:hAnsi="Arial" w:cs="Arial"/>
              </w:rPr>
            </w:pPr>
          </w:p>
        </w:tc>
      </w:tr>
      <w:tr w:rsidR="00E2148E" w:rsidRPr="00044A9E" w14:paraId="43D1098A" w14:textId="77777777" w:rsidTr="00A759EC">
        <w:tc>
          <w:tcPr>
            <w:tcW w:w="4508" w:type="dxa"/>
          </w:tcPr>
          <w:p w14:paraId="5A07EB5A" w14:textId="77777777" w:rsidR="00E2148E" w:rsidRPr="00044A9E" w:rsidRDefault="00E2148E" w:rsidP="00A759EC">
            <w:pPr>
              <w:jc w:val="center"/>
              <w:rPr>
                <w:rFonts w:ascii="Arial" w:hAnsi="Arial" w:cs="Arial"/>
              </w:rPr>
            </w:pPr>
            <w:r w:rsidRPr="00044A9E">
              <w:rPr>
                <w:rFonts w:ascii="Arial" w:hAnsi="Arial" w:cs="Arial"/>
              </w:rPr>
              <w:t>7</w:t>
            </w:r>
          </w:p>
          <w:p w14:paraId="7CDCBE5F" w14:textId="77777777" w:rsidR="00E2148E" w:rsidRPr="00044A9E" w:rsidRDefault="00E2148E" w:rsidP="00A759EC">
            <w:pPr>
              <w:jc w:val="center"/>
              <w:rPr>
                <w:rFonts w:ascii="Arial" w:hAnsi="Arial" w:cs="Arial"/>
              </w:rPr>
            </w:pPr>
          </w:p>
        </w:tc>
        <w:tc>
          <w:tcPr>
            <w:tcW w:w="4508" w:type="dxa"/>
          </w:tcPr>
          <w:p w14:paraId="498A9B1D" w14:textId="12516995" w:rsidR="004B6B15" w:rsidRPr="00044A9E" w:rsidRDefault="00143716" w:rsidP="004B6B15">
            <w:pPr>
              <w:jc w:val="center"/>
              <w:rPr>
                <w:rFonts w:ascii="Arial" w:hAnsi="Arial" w:cs="Arial"/>
              </w:rPr>
            </w:pPr>
            <w:r w:rsidRPr="00044A9E">
              <w:rPr>
                <w:rFonts w:ascii="Arial" w:hAnsi="Arial" w:cs="Arial"/>
              </w:rPr>
              <w:t>Met</w:t>
            </w:r>
          </w:p>
          <w:p w14:paraId="3B804B2E" w14:textId="1F2C0FF0" w:rsidR="00E2148E" w:rsidRPr="00044A9E" w:rsidRDefault="00E2148E" w:rsidP="00143716">
            <w:pPr>
              <w:jc w:val="center"/>
              <w:rPr>
                <w:rFonts w:ascii="Arial" w:hAnsi="Arial" w:cs="Arial"/>
              </w:rPr>
            </w:pPr>
          </w:p>
        </w:tc>
      </w:tr>
      <w:tr w:rsidR="00E2148E" w:rsidRPr="00044A9E" w14:paraId="689DA4D9" w14:textId="77777777" w:rsidTr="00A759EC">
        <w:tc>
          <w:tcPr>
            <w:tcW w:w="4508" w:type="dxa"/>
          </w:tcPr>
          <w:p w14:paraId="4567C734" w14:textId="77777777" w:rsidR="00E2148E" w:rsidRPr="00044A9E" w:rsidRDefault="00E2148E" w:rsidP="00A759EC">
            <w:pPr>
              <w:jc w:val="center"/>
              <w:rPr>
                <w:rFonts w:ascii="Arial" w:hAnsi="Arial" w:cs="Arial"/>
              </w:rPr>
            </w:pPr>
            <w:r w:rsidRPr="00044A9E">
              <w:rPr>
                <w:rFonts w:ascii="Arial" w:hAnsi="Arial" w:cs="Arial"/>
              </w:rPr>
              <w:t>8</w:t>
            </w:r>
          </w:p>
          <w:p w14:paraId="3951E816" w14:textId="77777777" w:rsidR="00E2148E" w:rsidRPr="00044A9E" w:rsidRDefault="00E2148E" w:rsidP="00A759EC">
            <w:pPr>
              <w:jc w:val="center"/>
              <w:rPr>
                <w:rFonts w:ascii="Arial" w:hAnsi="Arial" w:cs="Arial"/>
              </w:rPr>
            </w:pPr>
          </w:p>
        </w:tc>
        <w:tc>
          <w:tcPr>
            <w:tcW w:w="4508" w:type="dxa"/>
          </w:tcPr>
          <w:p w14:paraId="37EBD050" w14:textId="7556DCFC" w:rsidR="004B6B15" w:rsidRPr="00044A9E" w:rsidRDefault="00143716" w:rsidP="004B6B15">
            <w:pPr>
              <w:jc w:val="center"/>
              <w:rPr>
                <w:rFonts w:ascii="Arial" w:hAnsi="Arial" w:cs="Arial"/>
              </w:rPr>
            </w:pPr>
            <w:r w:rsidRPr="00044A9E">
              <w:rPr>
                <w:rFonts w:ascii="Arial" w:hAnsi="Arial" w:cs="Arial"/>
              </w:rPr>
              <w:t>Met</w:t>
            </w:r>
          </w:p>
          <w:p w14:paraId="164177CD" w14:textId="683EA59F" w:rsidR="00E2148E" w:rsidRPr="00044A9E" w:rsidRDefault="00E2148E" w:rsidP="00143716">
            <w:pPr>
              <w:jc w:val="center"/>
              <w:rPr>
                <w:rFonts w:ascii="Arial" w:hAnsi="Arial" w:cs="Arial"/>
              </w:rPr>
            </w:pPr>
          </w:p>
        </w:tc>
      </w:tr>
      <w:tr w:rsidR="00E2148E" w:rsidRPr="00044A9E" w14:paraId="1C7773BB" w14:textId="77777777" w:rsidTr="00A759EC">
        <w:tc>
          <w:tcPr>
            <w:tcW w:w="9016" w:type="dxa"/>
            <w:gridSpan w:val="2"/>
            <w:shd w:val="clear" w:color="auto" w:fill="D9D9D9" w:themeFill="background1" w:themeFillShade="D9"/>
          </w:tcPr>
          <w:p w14:paraId="02CA0D93" w14:textId="77777777" w:rsidR="00E2148E" w:rsidRPr="00044A9E" w:rsidRDefault="00E2148E" w:rsidP="00A759EC">
            <w:pPr>
              <w:jc w:val="center"/>
              <w:rPr>
                <w:rFonts w:ascii="Arial" w:hAnsi="Arial" w:cs="Arial"/>
                <w:b/>
              </w:rPr>
            </w:pPr>
            <w:r w:rsidRPr="00044A9E">
              <w:rPr>
                <w:rFonts w:ascii="Arial" w:hAnsi="Arial" w:cs="Arial"/>
                <w:b/>
              </w:rPr>
              <w:t>Standard Two</w:t>
            </w:r>
          </w:p>
        </w:tc>
      </w:tr>
      <w:tr w:rsidR="00E2148E" w:rsidRPr="00044A9E" w14:paraId="2348BE16" w14:textId="77777777" w:rsidTr="00A759EC">
        <w:tc>
          <w:tcPr>
            <w:tcW w:w="4508" w:type="dxa"/>
          </w:tcPr>
          <w:p w14:paraId="2D9F90AC" w14:textId="77777777" w:rsidR="00E2148E" w:rsidRPr="00044A9E" w:rsidRDefault="00E2148E" w:rsidP="00A759EC">
            <w:pPr>
              <w:jc w:val="center"/>
              <w:rPr>
                <w:rFonts w:ascii="Arial" w:hAnsi="Arial" w:cs="Arial"/>
              </w:rPr>
            </w:pPr>
            <w:r w:rsidRPr="00044A9E">
              <w:rPr>
                <w:rFonts w:ascii="Arial" w:hAnsi="Arial" w:cs="Arial"/>
              </w:rPr>
              <w:t>9</w:t>
            </w:r>
          </w:p>
          <w:p w14:paraId="5D7DE8C1" w14:textId="77777777" w:rsidR="00E2148E" w:rsidRPr="00044A9E" w:rsidRDefault="00E2148E" w:rsidP="00A759EC">
            <w:pPr>
              <w:jc w:val="center"/>
              <w:rPr>
                <w:rFonts w:ascii="Arial" w:hAnsi="Arial" w:cs="Arial"/>
              </w:rPr>
            </w:pPr>
          </w:p>
        </w:tc>
        <w:tc>
          <w:tcPr>
            <w:tcW w:w="4508" w:type="dxa"/>
          </w:tcPr>
          <w:p w14:paraId="42AEF6F7" w14:textId="6F8BBE9F" w:rsidR="004B6B15" w:rsidRPr="00044A9E" w:rsidRDefault="00143716" w:rsidP="004B6B15">
            <w:pPr>
              <w:jc w:val="center"/>
              <w:rPr>
                <w:rFonts w:ascii="Arial" w:hAnsi="Arial" w:cs="Arial"/>
              </w:rPr>
            </w:pPr>
            <w:r w:rsidRPr="00044A9E">
              <w:rPr>
                <w:rFonts w:ascii="Arial" w:hAnsi="Arial" w:cs="Arial"/>
              </w:rPr>
              <w:t>Met</w:t>
            </w:r>
          </w:p>
          <w:p w14:paraId="42571EE3" w14:textId="2B7E4982" w:rsidR="00E2148E" w:rsidRPr="00044A9E" w:rsidRDefault="00E2148E" w:rsidP="00143716">
            <w:pPr>
              <w:jc w:val="center"/>
              <w:rPr>
                <w:rFonts w:ascii="Arial" w:hAnsi="Arial" w:cs="Arial"/>
              </w:rPr>
            </w:pPr>
          </w:p>
        </w:tc>
      </w:tr>
      <w:tr w:rsidR="00E2148E" w:rsidRPr="00044A9E" w14:paraId="105220D4" w14:textId="77777777" w:rsidTr="00A759EC">
        <w:tc>
          <w:tcPr>
            <w:tcW w:w="4508" w:type="dxa"/>
          </w:tcPr>
          <w:p w14:paraId="38B120BE" w14:textId="77777777" w:rsidR="00E2148E" w:rsidRPr="00044A9E" w:rsidRDefault="00E2148E" w:rsidP="00A759EC">
            <w:pPr>
              <w:jc w:val="center"/>
              <w:rPr>
                <w:rFonts w:ascii="Arial" w:hAnsi="Arial" w:cs="Arial"/>
              </w:rPr>
            </w:pPr>
            <w:r w:rsidRPr="00044A9E">
              <w:rPr>
                <w:rFonts w:ascii="Arial" w:hAnsi="Arial" w:cs="Arial"/>
              </w:rPr>
              <w:t>10</w:t>
            </w:r>
          </w:p>
          <w:p w14:paraId="7E41EF30" w14:textId="77777777" w:rsidR="00E2148E" w:rsidRPr="00044A9E" w:rsidRDefault="00E2148E" w:rsidP="00A759EC">
            <w:pPr>
              <w:jc w:val="center"/>
              <w:rPr>
                <w:rFonts w:ascii="Arial" w:hAnsi="Arial" w:cs="Arial"/>
              </w:rPr>
            </w:pPr>
          </w:p>
        </w:tc>
        <w:tc>
          <w:tcPr>
            <w:tcW w:w="4508" w:type="dxa"/>
          </w:tcPr>
          <w:p w14:paraId="75DCCCC2" w14:textId="3CAA9106" w:rsidR="004B6B15" w:rsidRPr="00044A9E" w:rsidRDefault="00143716" w:rsidP="004B6B15">
            <w:pPr>
              <w:jc w:val="center"/>
              <w:rPr>
                <w:rFonts w:ascii="Arial" w:hAnsi="Arial" w:cs="Arial"/>
              </w:rPr>
            </w:pPr>
            <w:r w:rsidRPr="00044A9E">
              <w:rPr>
                <w:rFonts w:ascii="Arial" w:hAnsi="Arial" w:cs="Arial"/>
              </w:rPr>
              <w:t>Met</w:t>
            </w:r>
          </w:p>
          <w:p w14:paraId="4282004B" w14:textId="50A19888" w:rsidR="00E2148E" w:rsidRPr="00044A9E" w:rsidRDefault="00E2148E" w:rsidP="00143716">
            <w:pPr>
              <w:jc w:val="center"/>
              <w:rPr>
                <w:rFonts w:ascii="Arial" w:hAnsi="Arial" w:cs="Arial"/>
              </w:rPr>
            </w:pPr>
          </w:p>
        </w:tc>
      </w:tr>
      <w:tr w:rsidR="00E2148E" w:rsidRPr="00044A9E" w14:paraId="56105FA1" w14:textId="77777777" w:rsidTr="00A759EC">
        <w:tc>
          <w:tcPr>
            <w:tcW w:w="4508" w:type="dxa"/>
          </w:tcPr>
          <w:p w14:paraId="39C227DA" w14:textId="77777777" w:rsidR="00E2148E" w:rsidRPr="00044A9E" w:rsidRDefault="00E2148E" w:rsidP="00A759EC">
            <w:pPr>
              <w:jc w:val="center"/>
              <w:rPr>
                <w:rFonts w:ascii="Arial" w:hAnsi="Arial" w:cs="Arial"/>
              </w:rPr>
            </w:pPr>
            <w:r w:rsidRPr="00044A9E">
              <w:rPr>
                <w:rFonts w:ascii="Arial" w:hAnsi="Arial" w:cs="Arial"/>
              </w:rPr>
              <w:t>11</w:t>
            </w:r>
          </w:p>
          <w:p w14:paraId="687FB0EE" w14:textId="77777777" w:rsidR="00E2148E" w:rsidRPr="00044A9E" w:rsidRDefault="00E2148E" w:rsidP="00A759EC">
            <w:pPr>
              <w:jc w:val="center"/>
              <w:rPr>
                <w:rFonts w:ascii="Arial" w:hAnsi="Arial" w:cs="Arial"/>
              </w:rPr>
            </w:pPr>
          </w:p>
        </w:tc>
        <w:tc>
          <w:tcPr>
            <w:tcW w:w="4508" w:type="dxa"/>
          </w:tcPr>
          <w:p w14:paraId="76B2365F" w14:textId="14365672" w:rsidR="004B6B15" w:rsidRPr="00044A9E" w:rsidRDefault="00143716" w:rsidP="004B6B15">
            <w:pPr>
              <w:jc w:val="center"/>
              <w:rPr>
                <w:rFonts w:ascii="Arial" w:hAnsi="Arial" w:cs="Arial"/>
              </w:rPr>
            </w:pPr>
            <w:r w:rsidRPr="00044A9E">
              <w:rPr>
                <w:rFonts w:ascii="Arial" w:hAnsi="Arial" w:cs="Arial"/>
              </w:rPr>
              <w:t>Met</w:t>
            </w:r>
          </w:p>
          <w:p w14:paraId="05B39965" w14:textId="7B659941" w:rsidR="00E2148E" w:rsidRPr="00044A9E" w:rsidRDefault="00E2148E" w:rsidP="00143716">
            <w:pPr>
              <w:jc w:val="center"/>
              <w:rPr>
                <w:rFonts w:ascii="Arial" w:hAnsi="Arial" w:cs="Arial"/>
              </w:rPr>
            </w:pPr>
          </w:p>
        </w:tc>
      </w:tr>
      <w:tr w:rsidR="00E2148E" w:rsidRPr="00044A9E" w14:paraId="04F88B22" w14:textId="77777777" w:rsidTr="00A759EC">
        <w:tc>
          <w:tcPr>
            <w:tcW w:w="4508" w:type="dxa"/>
          </w:tcPr>
          <w:p w14:paraId="4D317635" w14:textId="77777777" w:rsidR="00E2148E" w:rsidRPr="00044A9E" w:rsidRDefault="00E2148E" w:rsidP="00A759EC">
            <w:pPr>
              <w:jc w:val="center"/>
              <w:rPr>
                <w:rFonts w:ascii="Arial" w:hAnsi="Arial" w:cs="Arial"/>
              </w:rPr>
            </w:pPr>
            <w:r w:rsidRPr="00044A9E">
              <w:rPr>
                <w:rFonts w:ascii="Arial" w:hAnsi="Arial" w:cs="Arial"/>
              </w:rPr>
              <w:t>12</w:t>
            </w:r>
          </w:p>
          <w:p w14:paraId="7D90BD78" w14:textId="77777777" w:rsidR="00E2148E" w:rsidRPr="00044A9E" w:rsidRDefault="00E2148E" w:rsidP="00A759EC">
            <w:pPr>
              <w:jc w:val="center"/>
              <w:rPr>
                <w:rFonts w:ascii="Arial" w:hAnsi="Arial" w:cs="Arial"/>
              </w:rPr>
            </w:pPr>
          </w:p>
        </w:tc>
        <w:tc>
          <w:tcPr>
            <w:tcW w:w="4508" w:type="dxa"/>
          </w:tcPr>
          <w:p w14:paraId="0C6C140E" w14:textId="613734B8" w:rsidR="004B6B15" w:rsidRPr="00044A9E" w:rsidRDefault="00143716" w:rsidP="004B6B15">
            <w:pPr>
              <w:jc w:val="center"/>
              <w:rPr>
                <w:rFonts w:ascii="Arial" w:hAnsi="Arial" w:cs="Arial"/>
              </w:rPr>
            </w:pPr>
            <w:r w:rsidRPr="00044A9E">
              <w:rPr>
                <w:rFonts w:ascii="Arial" w:hAnsi="Arial" w:cs="Arial"/>
              </w:rPr>
              <w:t>Met</w:t>
            </w:r>
          </w:p>
          <w:p w14:paraId="34C1AC37" w14:textId="183CCE8C" w:rsidR="00E2148E" w:rsidRPr="00044A9E" w:rsidRDefault="00E2148E" w:rsidP="00143716">
            <w:pPr>
              <w:jc w:val="center"/>
              <w:rPr>
                <w:rFonts w:ascii="Arial" w:hAnsi="Arial" w:cs="Arial"/>
              </w:rPr>
            </w:pPr>
          </w:p>
        </w:tc>
      </w:tr>
      <w:tr w:rsidR="00E2148E" w:rsidRPr="00044A9E" w14:paraId="2DE8AB71" w14:textId="77777777" w:rsidTr="00A759EC">
        <w:tc>
          <w:tcPr>
            <w:tcW w:w="9016" w:type="dxa"/>
            <w:gridSpan w:val="2"/>
            <w:shd w:val="clear" w:color="auto" w:fill="D9D9D9" w:themeFill="background1" w:themeFillShade="D9"/>
          </w:tcPr>
          <w:p w14:paraId="4DFE3FF6" w14:textId="77777777" w:rsidR="00E2148E" w:rsidRPr="00044A9E" w:rsidRDefault="00E2148E" w:rsidP="00A759EC">
            <w:pPr>
              <w:jc w:val="center"/>
              <w:rPr>
                <w:rFonts w:ascii="Arial" w:hAnsi="Arial" w:cs="Arial"/>
                <w:b/>
              </w:rPr>
            </w:pPr>
            <w:r w:rsidRPr="00044A9E">
              <w:rPr>
                <w:rFonts w:ascii="Arial" w:hAnsi="Arial" w:cs="Arial"/>
                <w:b/>
              </w:rPr>
              <w:t>Standard Three</w:t>
            </w:r>
          </w:p>
        </w:tc>
      </w:tr>
      <w:tr w:rsidR="00E2148E" w:rsidRPr="00044A9E" w14:paraId="7EE705D5" w14:textId="77777777" w:rsidTr="00A759EC">
        <w:tc>
          <w:tcPr>
            <w:tcW w:w="4508" w:type="dxa"/>
          </w:tcPr>
          <w:p w14:paraId="5205D72E" w14:textId="77777777" w:rsidR="00E2148E" w:rsidRPr="00044A9E" w:rsidRDefault="00E2148E" w:rsidP="00A759EC">
            <w:pPr>
              <w:jc w:val="center"/>
              <w:rPr>
                <w:rFonts w:ascii="Arial" w:hAnsi="Arial" w:cs="Arial"/>
              </w:rPr>
            </w:pPr>
            <w:r w:rsidRPr="00044A9E">
              <w:rPr>
                <w:rFonts w:ascii="Arial" w:hAnsi="Arial" w:cs="Arial"/>
              </w:rPr>
              <w:t>13</w:t>
            </w:r>
          </w:p>
          <w:p w14:paraId="451CE457" w14:textId="77777777" w:rsidR="00E2148E" w:rsidRPr="00044A9E" w:rsidRDefault="00E2148E" w:rsidP="00A759EC">
            <w:pPr>
              <w:jc w:val="center"/>
              <w:rPr>
                <w:rFonts w:ascii="Arial" w:hAnsi="Arial" w:cs="Arial"/>
              </w:rPr>
            </w:pPr>
          </w:p>
        </w:tc>
        <w:tc>
          <w:tcPr>
            <w:tcW w:w="4508" w:type="dxa"/>
          </w:tcPr>
          <w:p w14:paraId="1C193714" w14:textId="739CDA40" w:rsidR="004B6B15" w:rsidRPr="00044A9E" w:rsidRDefault="00AE0BB8" w:rsidP="004B6B15">
            <w:pPr>
              <w:jc w:val="center"/>
              <w:rPr>
                <w:rFonts w:ascii="Arial" w:hAnsi="Arial" w:cs="Arial"/>
              </w:rPr>
            </w:pPr>
            <w:r>
              <w:rPr>
                <w:rFonts w:ascii="Arial" w:hAnsi="Arial" w:cs="Arial"/>
              </w:rPr>
              <w:t>Met</w:t>
            </w:r>
          </w:p>
          <w:p w14:paraId="0070B547" w14:textId="29328B14" w:rsidR="00E2148E" w:rsidRPr="00044A9E" w:rsidRDefault="00E2148E" w:rsidP="00143716">
            <w:pPr>
              <w:jc w:val="center"/>
              <w:rPr>
                <w:rFonts w:ascii="Arial" w:hAnsi="Arial" w:cs="Arial"/>
              </w:rPr>
            </w:pPr>
          </w:p>
        </w:tc>
      </w:tr>
      <w:tr w:rsidR="00E2148E" w:rsidRPr="00044A9E" w14:paraId="50B2804A" w14:textId="77777777" w:rsidTr="00A759EC">
        <w:tc>
          <w:tcPr>
            <w:tcW w:w="4508" w:type="dxa"/>
          </w:tcPr>
          <w:p w14:paraId="7FD7C08D" w14:textId="77777777" w:rsidR="00E2148E" w:rsidRPr="00044A9E" w:rsidRDefault="00E2148E" w:rsidP="00A759EC">
            <w:pPr>
              <w:jc w:val="center"/>
              <w:rPr>
                <w:rFonts w:ascii="Arial" w:hAnsi="Arial" w:cs="Arial"/>
              </w:rPr>
            </w:pPr>
            <w:r w:rsidRPr="00044A9E">
              <w:rPr>
                <w:rFonts w:ascii="Arial" w:hAnsi="Arial" w:cs="Arial"/>
              </w:rPr>
              <w:t>14</w:t>
            </w:r>
          </w:p>
          <w:p w14:paraId="1302D67D" w14:textId="77777777" w:rsidR="00E2148E" w:rsidRPr="00044A9E" w:rsidRDefault="00E2148E" w:rsidP="004B6B15">
            <w:pPr>
              <w:rPr>
                <w:rFonts w:ascii="Arial" w:hAnsi="Arial" w:cs="Arial"/>
              </w:rPr>
            </w:pPr>
          </w:p>
        </w:tc>
        <w:tc>
          <w:tcPr>
            <w:tcW w:w="4508" w:type="dxa"/>
          </w:tcPr>
          <w:p w14:paraId="6EEB3739" w14:textId="31CE15A2" w:rsidR="00E2148E" w:rsidRPr="00044A9E" w:rsidRDefault="00143716" w:rsidP="004B6B15">
            <w:pPr>
              <w:jc w:val="center"/>
              <w:rPr>
                <w:rFonts w:ascii="Arial" w:hAnsi="Arial" w:cs="Arial"/>
              </w:rPr>
            </w:pPr>
            <w:r w:rsidRPr="00044A9E">
              <w:rPr>
                <w:rFonts w:ascii="Arial" w:hAnsi="Arial" w:cs="Arial"/>
              </w:rPr>
              <w:t>Met</w:t>
            </w:r>
          </w:p>
        </w:tc>
      </w:tr>
      <w:tr w:rsidR="00E2148E" w:rsidRPr="00044A9E" w14:paraId="6E7B07FC" w14:textId="77777777" w:rsidTr="00A759EC">
        <w:tc>
          <w:tcPr>
            <w:tcW w:w="4508" w:type="dxa"/>
          </w:tcPr>
          <w:p w14:paraId="6AF07703" w14:textId="77777777" w:rsidR="00E2148E" w:rsidRPr="00044A9E" w:rsidRDefault="00E2148E" w:rsidP="00A759EC">
            <w:pPr>
              <w:jc w:val="center"/>
              <w:rPr>
                <w:rFonts w:ascii="Arial" w:hAnsi="Arial" w:cs="Arial"/>
              </w:rPr>
            </w:pPr>
            <w:r w:rsidRPr="00044A9E">
              <w:rPr>
                <w:rFonts w:ascii="Arial" w:hAnsi="Arial" w:cs="Arial"/>
              </w:rPr>
              <w:t>15</w:t>
            </w:r>
          </w:p>
          <w:p w14:paraId="2612B004" w14:textId="77777777" w:rsidR="00E2148E" w:rsidRPr="00044A9E" w:rsidRDefault="00E2148E" w:rsidP="00A759EC">
            <w:pPr>
              <w:jc w:val="center"/>
              <w:rPr>
                <w:rFonts w:ascii="Arial" w:hAnsi="Arial" w:cs="Arial"/>
              </w:rPr>
            </w:pPr>
          </w:p>
        </w:tc>
        <w:tc>
          <w:tcPr>
            <w:tcW w:w="4508" w:type="dxa"/>
          </w:tcPr>
          <w:p w14:paraId="646F811B" w14:textId="676AEA2E" w:rsidR="004B6B15" w:rsidRPr="007C10FA" w:rsidRDefault="007C10FA" w:rsidP="004B6B15">
            <w:pPr>
              <w:jc w:val="center"/>
              <w:rPr>
                <w:rFonts w:ascii="Arial" w:hAnsi="Arial" w:cs="Arial"/>
              </w:rPr>
            </w:pPr>
            <w:r w:rsidRPr="007C10FA">
              <w:rPr>
                <w:rFonts w:ascii="Arial" w:hAnsi="Arial" w:cs="Arial"/>
              </w:rPr>
              <w:t>Met</w:t>
            </w:r>
          </w:p>
          <w:p w14:paraId="35F76218" w14:textId="34C6D8BC" w:rsidR="00E2148E" w:rsidRPr="000D060C" w:rsidRDefault="00E2148E" w:rsidP="00143716">
            <w:pPr>
              <w:jc w:val="center"/>
              <w:rPr>
                <w:rFonts w:ascii="Arial" w:hAnsi="Arial" w:cs="Arial"/>
                <w:highlight w:val="yellow"/>
              </w:rPr>
            </w:pPr>
          </w:p>
        </w:tc>
      </w:tr>
      <w:tr w:rsidR="00E2148E" w:rsidRPr="00044A9E" w14:paraId="702A3C4A" w14:textId="77777777" w:rsidTr="00A759EC">
        <w:tc>
          <w:tcPr>
            <w:tcW w:w="4508" w:type="dxa"/>
          </w:tcPr>
          <w:p w14:paraId="00EE4384" w14:textId="77777777" w:rsidR="00E2148E" w:rsidRPr="00044A9E" w:rsidRDefault="00E2148E" w:rsidP="00A759EC">
            <w:pPr>
              <w:jc w:val="center"/>
              <w:rPr>
                <w:rFonts w:ascii="Arial" w:hAnsi="Arial" w:cs="Arial"/>
              </w:rPr>
            </w:pPr>
            <w:r w:rsidRPr="00044A9E">
              <w:rPr>
                <w:rFonts w:ascii="Arial" w:hAnsi="Arial" w:cs="Arial"/>
              </w:rPr>
              <w:t>16</w:t>
            </w:r>
          </w:p>
          <w:p w14:paraId="4FA0C0E5" w14:textId="77777777" w:rsidR="00E2148E" w:rsidRPr="00044A9E" w:rsidRDefault="00E2148E" w:rsidP="00A759EC">
            <w:pPr>
              <w:jc w:val="center"/>
              <w:rPr>
                <w:rFonts w:ascii="Arial" w:hAnsi="Arial" w:cs="Arial"/>
              </w:rPr>
            </w:pPr>
          </w:p>
        </w:tc>
        <w:tc>
          <w:tcPr>
            <w:tcW w:w="4508" w:type="dxa"/>
          </w:tcPr>
          <w:p w14:paraId="604F3D9F" w14:textId="5D928A88" w:rsidR="004B6B15" w:rsidRPr="00044A9E" w:rsidRDefault="00143716" w:rsidP="004B6B15">
            <w:pPr>
              <w:jc w:val="center"/>
              <w:rPr>
                <w:rFonts w:ascii="Arial" w:hAnsi="Arial" w:cs="Arial"/>
              </w:rPr>
            </w:pPr>
            <w:r w:rsidRPr="00044A9E">
              <w:rPr>
                <w:rFonts w:ascii="Arial" w:hAnsi="Arial" w:cs="Arial"/>
              </w:rPr>
              <w:t>Met</w:t>
            </w:r>
          </w:p>
          <w:p w14:paraId="6514F5E5" w14:textId="18436101" w:rsidR="00E2148E" w:rsidRPr="00044A9E" w:rsidRDefault="00E2148E" w:rsidP="00143716">
            <w:pPr>
              <w:jc w:val="center"/>
              <w:rPr>
                <w:rFonts w:ascii="Arial" w:hAnsi="Arial" w:cs="Arial"/>
              </w:rPr>
            </w:pPr>
          </w:p>
        </w:tc>
      </w:tr>
      <w:tr w:rsidR="00E2148E" w:rsidRPr="00044A9E" w14:paraId="7C167230" w14:textId="77777777" w:rsidTr="00A759EC">
        <w:tc>
          <w:tcPr>
            <w:tcW w:w="4508" w:type="dxa"/>
          </w:tcPr>
          <w:p w14:paraId="1F57C484" w14:textId="77777777" w:rsidR="00E2148E" w:rsidRPr="00044A9E" w:rsidRDefault="00E2148E" w:rsidP="00A759EC">
            <w:pPr>
              <w:jc w:val="center"/>
              <w:rPr>
                <w:rFonts w:ascii="Arial" w:hAnsi="Arial" w:cs="Arial"/>
              </w:rPr>
            </w:pPr>
            <w:r w:rsidRPr="00044A9E">
              <w:rPr>
                <w:rFonts w:ascii="Arial" w:hAnsi="Arial" w:cs="Arial"/>
              </w:rPr>
              <w:t>17</w:t>
            </w:r>
          </w:p>
          <w:p w14:paraId="051AC982" w14:textId="77777777" w:rsidR="00E2148E" w:rsidRPr="00044A9E" w:rsidRDefault="00E2148E" w:rsidP="00A759EC">
            <w:pPr>
              <w:jc w:val="center"/>
              <w:rPr>
                <w:rFonts w:ascii="Arial" w:hAnsi="Arial" w:cs="Arial"/>
              </w:rPr>
            </w:pPr>
          </w:p>
        </w:tc>
        <w:tc>
          <w:tcPr>
            <w:tcW w:w="4508" w:type="dxa"/>
          </w:tcPr>
          <w:p w14:paraId="0AC37F5A" w14:textId="61D0EEB2" w:rsidR="004B6B15" w:rsidRPr="00044A9E" w:rsidRDefault="00143716" w:rsidP="004B6B15">
            <w:pPr>
              <w:jc w:val="center"/>
              <w:rPr>
                <w:rFonts w:ascii="Arial" w:hAnsi="Arial" w:cs="Arial"/>
              </w:rPr>
            </w:pPr>
            <w:r w:rsidRPr="00044A9E">
              <w:rPr>
                <w:rFonts w:ascii="Arial" w:hAnsi="Arial" w:cs="Arial"/>
              </w:rPr>
              <w:t>Met</w:t>
            </w:r>
          </w:p>
          <w:p w14:paraId="6FB133A0" w14:textId="6CF96364" w:rsidR="00E2148E" w:rsidRPr="00044A9E" w:rsidRDefault="00E2148E" w:rsidP="00143716">
            <w:pPr>
              <w:jc w:val="center"/>
              <w:rPr>
                <w:rFonts w:ascii="Arial" w:hAnsi="Arial" w:cs="Arial"/>
              </w:rPr>
            </w:pPr>
          </w:p>
        </w:tc>
      </w:tr>
      <w:tr w:rsidR="00E2148E" w:rsidRPr="00044A9E" w14:paraId="67E579D5" w14:textId="77777777" w:rsidTr="00A759EC">
        <w:tc>
          <w:tcPr>
            <w:tcW w:w="4508" w:type="dxa"/>
          </w:tcPr>
          <w:p w14:paraId="04279F64" w14:textId="77777777" w:rsidR="00E2148E" w:rsidRPr="00044A9E" w:rsidRDefault="00E2148E" w:rsidP="00A759EC">
            <w:pPr>
              <w:jc w:val="center"/>
              <w:rPr>
                <w:rFonts w:ascii="Arial" w:hAnsi="Arial" w:cs="Arial"/>
              </w:rPr>
            </w:pPr>
            <w:r w:rsidRPr="00044A9E">
              <w:rPr>
                <w:rFonts w:ascii="Arial" w:hAnsi="Arial" w:cs="Arial"/>
              </w:rPr>
              <w:t>18</w:t>
            </w:r>
          </w:p>
          <w:p w14:paraId="7F1A6DDB" w14:textId="77777777" w:rsidR="00E2148E" w:rsidRPr="00044A9E" w:rsidRDefault="00E2148E" w:rsidP="00A759EC">
            <w:pPr>
              <w:jc w:val="center"/>
              <w:rPr>
                <w:rFonts w:ascii="Arial" w:hAnsi="Arial" w:cs="Arial"/>
              </w:rPr>
            </w:pPr>
          </w:p>
        </w:tc>
        <w:tc>
          <w:tcPr>
            <w:tcW w:w="4508" w:type="dxa"/>
          </w:tcPr>
          <w:p w14:paraId="6285134C" w14:textId="6C7380F5" w:rsidR="007C10FA" w:rsidRPr="00044A9E" w:rsidRDefault="00143716" w:rsidP="007C10FA">
            <w:pPr>
              <w:jc w:val="center"/>
              <w:rPr>
                <w:rFonts w:ascii="Arial" w:hAnsi="Arial" w:cs="Arial"/>
              </w:rPr>
            </w:pPr>
            <w:r w:rsidRPr="00044A9E">
              <w:rPr>
                <w:rFonts w:ascii="Arial" w:hAnsi="Arial" w:cs="Arial"/>
              </w:rPr>
              <w:t>Met</w:t>
            </w:r>
          </w:p>
          <w:p w14:paraId="33F5630B" w14:textId="7E1534C1" w:rsidR="00E2148E" w:rsidRPr="00044A9E" w:rsidRDefault="00E2148E" w:rsidP="00143716">
            <w:pPr>
              <w:jc w:val="center"/>
              <w:rPr>
                <w:rFonts w:ascii="Arial" w:hAnsi="Arial" w:cs="Arial"/>
              </w:rPr>
            </w:pPr>
          </w:p>
        </w:tc>
      </w:tr>
      <w:tr w:rsidR="00E2148E" w:rsidRPr="00044A9E" w14:paraId="245C142C" w14:textId="77777777" w:rsidTr="00A759EC">
        <w:tc>
          <w:tcPr>
            <w:tcW w:w="4508" w:type="dxa"/>
          </w:tcPr>
          <w:p w14:paraId="697FBC3D" w14:textId="77777777" w:rsidR="00E2148E" w:rsidRPr="00044A9E" w:rsidRDefault="00E2148E" w:rsidP="00A759EC">
            <w:pPr>
              <w:jc w:val="center"/>
              <w:rPr>
                <w:rFonts w:ascii="Arial" w:hAnsi="Arial" w:cs="Arial"/>
              </w:rPr>
            </w:pPr>
            <w:r w:rsidRPr="00044A9E">
              <w:rPr>
                <w:rFonts w:ascii="Arial" w:hAnsi="Arial" w:cs="Arial"/>
              </w:rPr>
              <w:t>19</w:t>
            </w:r>
          </w:p>
          <w:p w14:paraId="64656486" w14:textId="77777777" w:rsidR="00E2148E" w:rsidRPr="00044A9E" w:rsidRDefault="00E2148E" w:rsidP="00A759EC">
            <w:pPr>
              <w:jc w:val="center"/>
              <w:rPr>
                <w:rFonts w:ascii="Arial" w:hAnsi="Arial" w:cs="Arial"/>
              </w:rPr>
            </w:pPr>
          </w:p>
        </w:tc>
        <w:tc>
          <w:tcPr>
            <w:tcW w:w="4508" w:type="dxa"/>
          </w:tcPr>
          <w:p w14:paraId="55F5597D" w14:textId="0CABAACB" w:rsidR="007C10FA" w:rsidRPr="00044A9E" w:rsidRDefault="00143716" w:rsidP="007C10FA">
            <w:pPr>
              <w:jc w:val="center"/>
              <w:rPr>
                <w:rFonts w:ascii="Arial" w:hAnsi="Arial" w:cs="Arial"/>
              </w:rPr>
            </w:pPr>
            <w:r w:rsidRPr="00044A9E">
              <w:rPr>
                <w:rFonts w:ascii="Arial" w:hAnsi="Arial" w:cs="Arial"/>
              </w:rPr>
              <w:t>Met</w:t>
            </w:r>
          </w:p>
          <w:p w14:paraId="20CE45E5" w14:textId="75E60550" w:rsidR="00E2148E" w:rsidRPr="00044A9E" w:rsidRDefault="00E2148E" w:rsidP="00143716">
            <w:pPr>
              <w:jc w:val="center"/>
              <w:rPr>
                <w:rFonts w:ascii="Arial" w:hAnsi="Arial" w:cs="Arial"/>
              </w:rPr>
            </w:pPr>
          </w:p>
        </w:tc>
      </w:tr>
      <w:tr w:rsidR="00E2148E" w:rsidRPr="00044A9E" w14:paraId="6A8BD8CB" w14:textId="77777777" w:rsidTr="00A759EC">
        <w:tc>
          <w:tcPr>
            <w:tcW w:w="4508" w:type="dxa"/>
          </w:tcPr>
          <w:p w14:paraId="7B7E9560" w14:textId="77777777" w:rsidR="00E2148E" w:rsidRPr="00044A9E" w:rsidRDefault="00E2148E" w:rsidP="00A759EC">
            <w:pPr>
              <w:jc w:val="center"/>
              <w:rPr>
                <w:rFonts w:ascii="Arial" w:hAnsi="Arial" w:cs="Arial"/>
              </w:rPr>
            </w:pPr>
            <w:r w:rsidRPr="00044A9E">
              <w:rPr>
                <w:rFonts w:ascii="Arial" w:hAnsi="Arial" w:cs="Arial"/>
              </w:rPr>
              <w:t>20</w:t>
            </w:r>
          </w:p>
          <w:p w14:paraId="42358953" w14:textId="77777777" w:rsidR="00E2148E" w:rsidRPr="00044A9E" w:rsidRDefault="00E2148E" w:rsidP="00A759EC">
            <w:pPr>
              <w:jc w:val="center"/>
              <w:rPr>
                <w:rFonts w:ascii="Arial" w:hAnsi="Arial" w:cs="Arial"/>
              </w:rPr>
            </w:pPr>
          </w:p>
        </w:tc>
        <w:tc>
          <w:tcPr>
            <w:tcW w:w="4508" w:type="dxa"/>
          </w:tcPr>
          <w:p w14:paraId="2BD79881" w14:textId="00D2C325" w:rsidR="007C10FA" w:rsidRPr="00044A9E" w:rsidRDefault="00143716" w:rsidP="007C10FA">
            <w:pPr>
              <w:jc w:val="center"/>
              <w:rPr>
                <w:rFonts w:ascii="Arial" w:hAnsi="Arial" w:cs="Arial"/>
              </w:rPr>
            </w:pPr>
            <w:r w:rsidRPr="00044A9E">
              <w:rPr>
                <w:rFonts w:ascii="Arial" w:hAnsi="Arial" w:cs="Arial"/>
              </w:rPr>
              <w:t>Met</w:t>
            </w:r>
          </w:p>
          <w:p w14:paraId="1AE1FBF6" w14:textId="045F2E41" w:rsidR="00E2148E" w:rsidRPr="00044A9E" w:rsidRDefault="00E2148E" w:rsidP="00143716">
            <w:pPr>
              <w:jc w:val="center"/>
              <w:rPr>
                <w:rFonts w:ascii="Arial" w:hAnsi="Arial" w:cs="Arial"/>
              </w:rPr>
            </w:pPr>
          </w:p>
        </w:tc>
      </w:tr>
      <w:tr w:rsidR="00E2148E" w:rsidRPr="00044A9E" w14:paraId="1CD3FBFF" w14:textId="77777777" w:rsidTr="00A759EC">
        <w:tc>
          <w:tcPr>
            <w:tcW w:w="4508" w:type="dxa"/>
          </w:tcPr>
          <w:p w14:paraId="1208C814" w14:textId="77777777" w:rsidR="00E2148E" w:rsidRPr="00044A9E" w:rsidRDefault="00E2148E" w:rsidP="00A759EC">
            <w:pPr>
              <w:jc w:val="center"/>
              <w:rPr>
                <w:rFonts w:ascii="Arial" w:hAnsi="Arial" w:cs="Arial"/>
              </w:rPr>
            </w:pPr>
            <w:r w:rsidRPr="00044A9E">
              <w:rPr>
                <w:rFonts w:ascii="Arial" w:hAnsi="Arial" w:cs="Arial"/>
              </w:rPr>
              <w:t>21</w:t>
            </w:r>
          </w:p>
          <w:p w14:paraId="75F0630E" w14:textId="77777777" w:rsidR="00E2148E" w:rsidRPr="00044A9E" w:rsidRDefault="00E2148E" w:rsidP="00A759EC">
            <w:pPr>
              <w:jc w:val="center"/>
              <w:rPr>
                <w:rFonts w:ascii="Arial" w:hAnsi="Arial" w:cs="Arial"/>
              </w:rPr>
            </w:pPr>
          </w:p>
        </w:tc>
        <w:tc>
          <w:tcPr>
            <w:tcW w:w="4508" w:type="dxa"/>
          </w:tcPr>
          <w:p w14:paraId="37F4E98F" w14:textId="1FE271F1" w:rsidR="007C10FA" w:rsidRPr="00044A9E" w:rsidRDefault="00143716" w:rsidP="007C10FA">
            <w:pPr>
              <w:jc w:val="center"/>
              <w:rPr>
                <w:rFonts w:ascii="Arial" w:hAnsi="Arial" w:cs="Arial"/>
              </w:rPr>
            </w:pPr>
            <w:r w:rsidRPr="00044A9E">
              <w:rPr>
                <w:rFonts w:ascii="Arial" w:hAnsi="Arial" w:cs="Arial"/>
              </w:rPr>
              <w:t>Met</w:t>
            </w:r>
          </w:p>
          <w:p w14:paraId="22150E58" w14:textId="481A6D74" w:rsidR="00E2148E" w:rsidRPr="00044A9E" w:rsidRDefault="00E2148E" w:rsidP="00143716">
            <w:pPr>
              <w:jc w:val="center"/>
              <w:rPr>
                <w:rFonts w:ascii="Arial" w:hAnsi="Arial" w:cs="Arial"/>
              </w:rPr>
            </w:pPr>
          </w:p>
        </w:tc>
      </w:tr>
    </w:tbl>
    <w:p w14:paraId="624AD1B8" w14:textId="1E4ED42F" w:rsidR="00E2148E" w:rsidRPr="00044A9E" w:rsidRDefault="00E2148E" w:rsidP="00E2148E">
      <w:pPr>
        <w:rPr>
          <w:rFonts w:ascii="Arial" w:hAnsi="Arial" w:cs="Arial"/>
        </w:rPr>
      </w:pPr>
    </w:p>
    <w:p w14:paraId="512ED129" w14:textId="77777777" w:rsidR="00831FC8" w:rsidRPr="00044A9E" w:rsidRDefault="00831FC8" w:rsidP="00E2148E">
      <w:pPr>
        <w:rPr>
          <w:rFonts w:ascii="Arial" w:hAnsi="Arial" w:cs="Arial"/>
        </w:rPr>
      </w:pPr>
    </w:p>
    <w:tbl>
      <w:tblPr>
        <w:tblStyle w:val="TableGrid"/>
        <w:tblW w:w="9464" w:type="dxa"/>
        <w:tblLayout w:type="fixed"/>
        <w:tblLook w:val="04A0" w:firstRow="1" w:lastRow="0" w:firstColumn="1" w:lastColumn="0" w:noHBand="0" w:noVBand="1"/>
      </w:tblPr>
      <w:tblGrid>
        <w:gridCol w:w="9464"/>
      </w:tblGrid>
      <w:tr w:rsidR="00E2148E" w:rsidRPr="00044A9E" w14:paraId="5CBB5D8F" w14:textId="77777777" w:rsidTr="00A759EC">
        <w:tc>
          <w:tcPr>
            <w:tcW w:w="9464" w:type="dxa"/>
            <w:shd w:val="clear" w:color="auto" w:fill="2F5496" w:themeFill="accent1" w:themeFillShade="BF"/>
          </w:tcPr>
          <w:p w14:paraId="6B5C6D76" w14:textId="77777777" w:rsidR="00E2148E" w:rsidRPr="00044A9E" w:rsidRDefault="00E2148E" w:rsidP="00A759EC">
            <w:pPr>
              <w:rPr>
                <w:rFonts w:ascii="Arial" w:hAnsi="Arial" w:cs="Arial"/>
                <w:b/>
                <w:color w:val="FFFFFF" w:themeColor="background1"/>
              </w:rPr>
            </w:pPr>
            <w:r w:rsidRPr="00044A9E">
              <w:rPr>
                <w:rFonts w:ascii="Arial" w:hAnsi="Arial" w:cs="Arial"/>
                <w:b/>
                <w:color w:val="FFFFFF" w:themeColor="background1"/>
              </w:rPr>
              <w:t xml:space="preserve">Standard 1 – Protecting patients </w:t>
            </w:r>
          </w:p>
          <w:p w14:paraId="53E03E1A" w14:textId="77777777" w:rsidR="00E2148E" w:rsidRPr="00044A9E" w:rsidRDefault="00E2148E" w:rsidP="00A759EC">
            <w:pPr>
              <w:rPr>
                <w:rFonts w:ascii="Arial" w:hAnsi="Arial" w:cs="Arial"/>
                <w:color w:val="FFFFFF" w:themeColor="background1"/>
              </w:rPr>
            </w:pPr>
            <w:r w:rsidRPr="00044A9E">
              <w:rPr>
                <w:rFonts w:ascii="Arial" w:eastAsia="Calibri" w:hAnsi="Arial" w:cs="Arial"/>
                <w:b/>
                <w:color w:val="FFFFFF" w:themeColor="background1"/>
              </w:rPr>
              <w:t>Providers must be aware of their duty to protect the public.  Providers must ensure that patient safety is paramount and care of patients is of an appropriate standard. Any risk to the safety of patients and their care by students must be minimised.</w:t>
            </w:r>
          </w:p>
        </w:tc>
      </w:tr>
      <w:tr w:rsidR="00E2148E" w:rsidRPr="00044A9E" w14:paraId="5686D0AA" w14:textId="77777777" w:rsidTr="00A759EC">
        <w:trPr>
          <w:trHeight w:val="270"/>
        </w:trPr>
        <w:tc>
          <w:tcPr>
            <w:tcW w:w="9464" w:type="dxa"/>
          </w:tcPr>
          <w:p w14:paraId="1B01294B" w14:textId="77777777" w:rsidR="00E2148E" w:rsidRPr="00044A9E" w:rsidRDefault="00E2148E" w:rsidP="00A759EC">
            <w:pPr>
              <w:tabs>
                <w:tab w:val="left" w:pos="720"/>
                <w:tab w:val="left" w:pos="9248"/>
              </w:tabs>
              <w:ind w:right="34"/>
              <w:rPr>
                <w:rFonts w:ascii="Arial" w:eastAsia="Calibri" w:hAnsi="Arial" w:cs="Arial"/>
                <w:b/>
                <w:color w:val="000000" w:themeColor="text1"/>
              </w:rPr>
            </w:pPr>
          </w:p>
          <w:p w14:paraId="3748D1DA" w14:textId="14AAEFBE" w:rsidR="00E2148E" w:rsidRPr="00044A9E" w:rsidRDefault="00E2148E" w:rsidP="00A759EC">
            <w:pPr>
              <w:tabs>
                <w:tab w:val="left" w:pos="720"/>
                <w:tab w:val="left" w:pos="9248"/>
              </w:tabs>
              <w:ind w:right="34"/>
              <w:rPr>
                <w:rFonts w:ascii="Arial" w:eastAsia="Calibri" w:hAnsi="Arial" w:cs="Arial"/>
                <w:b/>
                <w:i/>
                <w:color w:val="000000" w:themeColor="text1"/>
              </w:rPr>
            </w:pPr>
            <w:r w:rsidRPr="00044A9E">
              <w:rPr>
                <w:rFonts w:ascii="Arial" w:eastAsia="Calibri" w:hAnsi="Arial" w:cs="Arial"/>
                <w:b/>
                <w:color w:val="000000" w:themeColor="text1"/>
              </w:rPr>
              <w:t xml:space="preserve">Requirement 1: Students must provide patient care only when they have demonstrated adequate knowledge and skills. For clinical procedures, the student should be assessed as competent in the relevant skills at the levels required in the pre-clinical environments prior to treating </w:t>
            </w:r>
            <w:r w:rsidRPr="0015445F">
              <w:rPr>
                <w:rFonts w:ascii="Arial" w:eastAsia="Calibri" w:hAnsi="Arial" w:cs="Arial"/>
                <w:b/>
                <w:color w:val="000000" w:themeColor="text1"/>
              </w:rPr>
              <w:t xml:space="preserve">patients. </w:t>
            </w:r>
            <w:r w:rsidRPr="0015445F">
              <w:rPr>
                <w:rFonts w:ascii="Arial" w:eastAsia="Calibri" w:hAnsi="Arial" w:cs="Arial"/>
                <w:b/>
                <w:i/>
                <w:color w:val="000000" w:themeColor="text1"/>
              </w:rPr>
              <w:t>(</w:t>
            </w:r>
            <w:r w:rsidR="000A6A8E" w:rsidRPr="0015445F">
              <w:rPr>
                <w:rFonts w:ascii="Arial" w:eastAsia="Calibri" w:hAnsi="Arial" w:cs="Arial"/>
                <w:b/>
                <w:i/>
                <w:color w:val="000000" w:themeColor="text1"/>
              </w:rPr>
              <w:t>Requirement Met</w:t>
            </w:r>
            <w:r w:rsidR="0015445F" w:rsidRPr="0015445F">
              <w:rPr>
                <w:rFonts w:ascii="Arial" w:eastAsia="Calibri" w:hAnsi="Arial" w:cs="Arial"/>
                <w:b/>
                <w:i/>
                <w:color w:val="000000" w:themeColor="text1"/>
              </w:rPr>
              <w:t>)</w:t>
            </w:r>
          </w:p>
          <w:p w14:paraId="6875578F" w14:textId="77777777" w:rsidR="00111291" w:rsidRPr="00044A9E" w:rsidRDefault="00111291" w:rsidP="00A759EC">
            <w:pPr>
              <w:tabs>
                <w:tab w:val="left" w:pos="720"/>
                <w:tab w:val="left" w:pos="9248"/>
              </w:tabs>
              <w:ind w:right="34"/>
              <w:rPr>
                <w:rFonts w:ascii="Arial" w:eastAsia="Calibri" w:hAnsi="Arial" w:cs="Arial"/>
                <w:b/>
                <w:i/>
                <w:color w:val="000000" w:themeColor="text1"/>
              </w:rPr>
            </w:pPr>
          </w:p>
          <w:p w14:paraId="0064ACEA" w14:textId="77777777" w:rsidR="00DF488F" w:rsidRPr="00324CC6" w:rsidRDefault="0015445F" w:rsidP="006F0226">
            <w:pPr>
              <w:tabs>
                <w:tab w:val="left" w:pos="720"/>
                <w:tab w:val="left" w:pos="9248"/>
              </w:tabs>
              <w:ind w:right="34"/>
              <w:rPr>
                <w:rFonts w:ascii="Arial" w:hAnsi="Arial" w:cs="Arial"/>
                <w:bCs/>
                <w:iCs/>
              </w:rPr>
            </w:pPr>
            <w:r w:rsidRPr="00324CC6">
              <w:rPr>
                <w:rFonts w:ascii="Arial" w:hAnsi="Arial" w:cs="Arial"/>
                <w:bCs/>
                <w:iCs/>
              </w:rPr>
              <w:t>The panel w</w:t>
            </w:r>
            <w:r w:rsidR="005510B1" w:rsidRPr="00324CC6">
              <w:rPr>
                <w:rFonts w:ascii="Arial" w:hAnsi="Arial" w:cs="Arial"/>
                <w:bCs/>
                <w:iCs/>
              </w:rPr>
              <w:t>as</w:t>
            </w:r>
            <w:r w:rsidRPr="00324CC6">
              <w:rPr>
                <w:rFonts w:ascii="Arial" w:hAnsi="Arial" w:cs="Arial"/>
                <w:bCs/>
                <w:iCs/>
              </w:rPr>
              <w:t xml:space="preserve"> assured that all students have the required knowledge and skills to carry out clinical procedures before they are given approval to treat patients. </w:t>
            </w:r>
            <w:r w:rsidR="006F0226" w:rsidRPr="00324CC6">
              <w:rPr>
                <w:rFonts w:ascii="Arial" w:hAnsi="Arial" w:cs="Arial"/>
                <w:bCs/>
                <w:iCs/>
              </w:rPr>
              <w:t xml:space="preserve">The school acknowledged that during the Covid 19 pandemic, pre-clinical experience had inevitably reduced but the breadth of experience is now back to expected levels. </w:t>
            </w:r>
            <w:r w:rsidRPr="00324CC6">
              <w:rPr>
                <w:rFonts w:ascii="Arial" w:hAnsi="Arial" w:cs="Arial"/>
                <w:bCs/>
                <w:iCs/>
              </w:rPr>
              <w:t>Students are given experience</w:t>
            </w:r>
            <w:r w:rsidR="00DF488F" w:rsidRPr="00324CC6">
              <w:rPr>
                <w:rFonts w:ascii="Arial" w:hAnsi="Arial" w:cs="Arial"/>
                <w:bCs/>
                <w:iCs/>
              </w:rPr>
              <w:t xml:space="preserve"> within the haptic </w:t>
            </w:r>
            <w:r w:rsidRPr="00324CC6">
              <w:rPr>
                <w:rFonts w:ascii="Arial" w:hAnsi="Arial" w:cs="Arial"/>
                <w:bCs/>
                <w:iCs/>
              </w:rPr>
              <w:t>s</w:t>
            </w:r>
            <w:r w:rsidR="00DF488F" w:rsidRPr="00324CC6">
              <w:rPr>
                <w:rFonts w:ascii="Arial" w:hAnsi="Arial" w:cs="Arial"/>
                <w:bCs/>
                <w:iCs/>
              </w:rPr>
              <w:t>uite</w:t>
            </w:r>
            <w:r w:rsidRPr="00324CC6">
              <w:rPr>
                <w:rFonts w:ascii="Arial" w:hAnsi="Arial" w:cs="Arial"/>
                <w:bCs/>
                <w:iCs/>
              </w:rPr>
              <w:t xml:space="preserve"> to practice safely as well as opportunities to practice on phantom heads. </w:t>
            </w:r>
          </w:p>
          <w:p w14:paraId="09A9BA70" w14:textId="77777777" w:rsidR="00DF488F" w:rsidRPr="00324CC6" w:rsidRDefault="00DF488F" w:rsidP="006F0226">
            <w:pPr>
              <w:tabs>
                <w:tab w:val="left" w:pos="720"/>
                <w:tab w:val="left" w:pos="9248"/>
              </w:tabs>
              <w:ind w:right="34"/>
              <w:rPr>
                <w:rFonts w:ascii="Arial" w:hAnsi="Arial" w:cs="Arial"/>
                <w:bCs/>
                <w:iCs/>
              </w:rPr>
            </w:pPr>
          </w:p>
          <w:p w14:paraId="4E76BC8D" w14:textId="0F0E159D" w:rsidR="00975E2C" w:rsidRPr="00324CC6" w:rsidRDefault="00984B4C" w:rsidP="006F0226">
            <w:pPr>
              <w:tabs>
                <w:tab w:val="left" w:pos="720"/>
                <w:tab w:val="left" w:pos="9248"/>
              </w:tabs>
              <w:ind w:right="34"/>
              <w:rPr>
                <w:rFonts w:ascii="Arial" w:hAnsi="Arial" w:cs="Arial"/>
                <w:bCs/>
                <w:iCs/>
              </w:rPr>
            </w:pPr>
            <w:r>
              <w:rPr>
                <w:rFonts w:ascii="Arial" w:hAnsi="Arial" w:cs="Arial"/>
                <w:bCs/>
                <w:iCs/>
              </w:rPr>
              <w:t>All t</w:t>
            </w:r>
            <w:r w:rsidR="0015445F" w:rsidRPr="00324CC6">
              <w:rPr>
                <w:rFonts w:ascii="Arial" w:hAnsi="Arial" w:cs="Arial"/>
                <w:bCs/>
                <w:iCs/>
              </w:rPr>
              <w:t>he</w:t>
            </w:r>
            <w:r>
              <w:rPr>
                <w:rFonts w:ascii="Arial" w:hAnsi="Arial" w:cs="Arial"/>
                <w:bCs/>
                <w:iCs/>
              </w:rPr>
              <w:t xml:space="preserve"> integrated skills development </w:t>
            </w:r>
            <w:r w:rsidRPr="00324CC6">
              <w:rPr>
                <w:rFonts w:ascii="Arial" w:hAnsi="Arial" w:cs="Arial"/>
                <w:bCs/>
                <w:iCs/>
              </w:rPr>
              <w:t>(</w:t>
            </w:r>
            <w:r w:rsidR="0015445F" w:rsidRPr="00324CC6">
              <w:rPr>
                <w:rFonts w:ascii="Arial" w:hAnsi="Arial" w:cs="Arial"/>
                <w:bCs/>
                <w:iCs/>
              </w:rPr>
              <w:t>ISD</w:t>
            </w:r>
            <w:r>
              <w:rPr>
                <w:rFonts w:ascii="Arial" w:hAnsi="Arial" w:cs="Arial"/>
                <w:bCs/>
                <w:iCs/>
              </w:rPr>
              <w:t>)</w:t>
            </w:r>
            <w:r w:rsidR="0015445F" w:rsidRPr="00324CC6">
              <w:rPr>
                <w:rFonts w:ascii="Arial" w:hAnsi="Arial" w:cs="Arial"/>
                <w:bCs/>
                <w:iCs/>
              </w:rPr>
              <w:t xml:space="preserve"> </w:t>
            </w:r>
            <w:r>
              <w:rPr>
                <w:rFonts w:ascii="Arial" w:hAnsi="Arial" w:cs="Arial"/>
                <w:bCs/>
                <w:iCs/>
              </w:rPr>
              <w:t>components</w:t>
            </w:r>
            <w:r w:rsidRPr="00324CC6">
              <w:rPr>
                <w:rFonts w:ascii="Arial" w:hAnsi="Arial" w:cs="Arial"/>
                <w:bCs/>
                <w:iCs/>
              </w:rPr>
              <w:t xml:space="preserve"> </w:t>
            </w:r>
            <w:r w:rsidR="0015445F" w:rsidRPr="00324CC6">
              <w:rPr>
                <w:rFonts w:ascii="Arial" w:hAnsi="Arial" w:cs="Arial"/>
                <w:bCs/>
                <w:iCs/>
              </w:rPr>
              <w:t>ha</w:t>
            </w:r>
            <w:r>
              <w:rPr>
                <w:rFonts w:ascii="Arial" w:hAnsi="Arial" w:cs="Arial"/>
                <w:bCs/>
                <w:iCs/>
              </w:rPr>
              <w:t>ve</w:t>
            </w:r>
            <w:r w:rsidR="0015445F" w:rsidRPr="00324CC6">
              <w:rPr>
                <w:rFonts w:ascii="Arial" w:hAnsi="Arial" w:cs="Arial"/>
                <w:bCs/>
                <w:iCs/>
              </w:rPr>
              <w:t xml:space="preserve"> a gateway at the end</w:t>
            </w:r>
            <w:r w:rsidR="007A4B08" w:rsidRPr="00324CC6">
              <w:rPr>
                <w:rFonts w:ascii="Arial" w:hAnsi="Arial" w:cs="Arial"/>
                <w:bCs/>
                <w:iCs/>
              </w:rPr>
              <w:t>,</w:t>
            </w:r>
            <w:r w:rsidR="0015445F" w:rsidRPr="00324CC6">
              <w:rPr>
                <w:rFonts w:ascii="Arial" w:hAnsi="Arial" w:cs="Arial"/>
                <w:bCs/>
                <w:iCs/>
              </w:rPr>
              <w:t xml:space="preserve"> ensuring </w:t>
            </w:r>
            <w:r w:rsidR="004508C5">
              <w:rPr>
                <w:rFonts w:ascii="Arial" w:hAnsi="Arial" w:cs="Arial"/>
                <w:bCs/>
                <w:iCs/>
              </w:rPr>
              <w:t xml:space="preserve">that </w:t>
            </w:r>
            <w:r w:rsidR="0015445F" w:rsidRPr="00324CC6">
              <w:rPr>
                <w:rFonts w:ascii="Arial" w:hAnsi="Arial" w:cs="Arial"/>
                <w:bCs/>
                <w:iCs/>
              </w:rPr>
              <w:t>no student progresses to treating patients</w:t>
            </w:r>
            <w:r>
              <w:rPr>
                <w:rFonts w:ascii="Arial" w:hAnsi="Arial" w:cs="Arial"/>
                <w:bCs/>
                <w:iCs/>
              </w:rPr>
              <w:t xml:space="preserve"> with new skills</w:t>
            </w:r>
            <w:r w:rsidR="0015445F" w:rsidRPr="00324CC6">
              <w:rPr>
                <w:rFonts w:ascii="Arial" w:hAnsi="Arial" w:cs="Arial"/>
                <w:bCs/>
                <w:iCs/>
              </w:rPr>
              <w:t xml:space="preserve"> until they have been sufficiently assessed as competent. Students failing ISD</w:t>
            </w:r>
            <w:r>
              <w:rPr>
                <w:rFonts w:ascii="Arial" w:hAnsi="Arial" w:cs="Arial"/>
                <w:bCs/>
                <w:iCs/>
              </w:rPr>
              <w:t xml:space="preserve"> components</w:t>
            </w:r>
            <w:r w:rsidR="0015445F" w:rsidRPr="00324CC6">
              <w:rPr>
                <w:rFonts w:ascii="Arial" w:hAnsi="Arial" w:cs="Arial"/>
                <w:bCs/>
                <w:iCs/>
              </w:rPr>
              <w:t xml:space="preserve"> receive support in order to meet the required standard. </w:t>
            </w:r>
            <w:r w:rsidR="00881D88" w:rsidRPr="00324CC6">
              <w:rPr>
                <w:rFonts w:ascii="Arial" w:hAnsi="Arial" w:cs="Arial"/>
                <w:bCs/>
                <w:iCs/>
              </w:rPr>
              <w:t xml:space="preserve">At the end of CLC3 (year 3) of the programme, students </w:t>
            </w:r>
            <w:r w:rsidR="006A100D" w:rsidRPr="00324CC6">
              <w:rPr>
                <w:rFonts w:ascii="Arial" w:hAnsi="Arial" w:cs="Arial"/>
                <w:bCs/>
                <w:iCs/>
              </w:rPr>
              <w:t>commence</w:t>
            </w:r>
            <w:r w:rsidR="00881D88" w:rsidRPr="00324CC6">
              <w:rPr>
                <w:rFonts w:ascii="Arial" w:hAnsi="Arial" w:cs="Arial"/>
                <w:bCs/>
                <w:iCs/>
              </w:rPr>
              <w:t xml:space="preserve"> the integrated </w:t>
            </w:r>
            <w:r w:rsidR="00813E43">
              <w:rPr>
                <w:rFonts w:ascii="Arial" w:hAnsi="Arial" w:cs="Arial"/>
                <w:bCs/>
                <w:iCs/>
              </w:rPr>
              <w:t>skills development 6 component</w:t>
            </w:r>
            <w:r w:rsidR="00881D88" w:rsidRPr="00324CC6">
              <w:rPr>
                <w:rFonts w:ascii="Arial" w:hAnsi="Arial" w:cs="Arial"/>
                <w:bCs/>
                <w:iCs/>
              </w:rPr>
              <w:t xml:space="preserve"> ensuring that </w:t>
            </w:r>
            <w:r w:rsidR="00813E43">
              <w:rPr>
                <w:rFonts w:ascii="Arial" w:hAnsi="Arial" w:cs="Arial"/>
                <w:bCs/>
                <w:iCs/>
              </w:rPr>
              <w:t xml:space="preserve">they are ready to begin to practice within the scope of a dentist early in year 4. </w:t>
            </w:r>
          </w:p>
          <w:p w14:paraId="0C32E585" w14:textId="77777777" w:rsidR="00975E2C" w:rsidRPr="00324CC6" w:rsidRDefault="00975E2C" w:rsidP="006F0226">
            <w:pPr>
              <w:tabs>
                <w:tab w:val="left" w:pos="720"/>
                <w:tab w:val="left" w:pos="9248"/>
              </w:tabs>
              <w:ind w:right="34"/>
              <w:rPr>
                <w:rFonts w:ascii="Arial" w:hAnsi="Arial" w:cs="Arial"/>
                <w:bCs/>
                <w:iCs/>
              </w:rPr>
            </w:pPr>
          </w:p>
          <w:p w14:paraId="18C4A039" w14:textId="1EFCBC33" w:rsidR="006F0226" w:rsidRPr="00324CC6" w:rsidRDefault="006F0226" w:rsidP="006F0226">
            <w:pPr>
              <w:tabs>
                <w:tab w:val="left" w:pos="720"/>
                <w:tab w:val="left" w:pos="9248"/>
              </w:tabs>
              <w:ind w:right="34"/>
              <w:rPr>
                <w:rFonts w:ascii="Arial" w:hAnsi="Arial" w:cs="Arial"/>
                <w:bCs/>
                <w:iCs/>
              </w:rPr>
            </w:pPr>
            <w:r w:rsidRPr="00324CC6">
              <w:rPr>
                <w:rFonts w:ascii="Arial" w:hAnsi="Arial" w:cs="Arial"/>
                <w:bCs/>
                <w:iCs/>
              </w:rPr>
              <w:t>LiftUpp is used by staff to record observations of student</w:t>
            </w:r>
            <w:r w:rsidR="00975E2C" w:rsidRPr="00324CC6">
              <w:rPr>
                <w:rFonts w:ascii="Arial" w:hAnsi="Arial" w:cs="Arial"/>
                <w:bCs/>
                <w:iCs/>
              </w:rPr>
              <w:t>s’</w:t>
            </w:r>
            <w:r w:rsidRPr="00324CC6">
              <w:rPr>
                <w:rFonts w:ascii="Arial" w:hAnsi="Arial" w:cs="Arial"/>
                <w:bCs/>
                <w:iCs/>
              </w:rPr>
              <w:t xml:space="preserve"> skill</w:t>
            </w:r>
            <w:r w:rsidR="00975E2C" w:rsidRPr="00324CC6">
              <w:rPr>
                <w:rFonts w:ascii="Arial" w:hAnsi="Arial" w:cs="Arial"/>
                <w:bCs/>
                <w:iCs/>
              </w:rPr>
              <w:t>s</w:t>
            </w:r>
            <w:r w:rsidRPr="00324CC6">
              <w:rPr>
                <w:rFonts w:ascii="Arial" w:hAnsi="Arial" w:cs="Arial"/>
                <w:bCs/>
                <w:iCs/>
              </w:rPr>
              <w:t xml:space="preserve"> and </w:t>
            </w:r>
            <w:r w:rsidR="00984B4C">
              <w:rPr>
                <w:rFonts w:ascii="Arial" w:hAnsi="Arial" w:cs="Arial"/>
                <w:bCs/>
                <w:iCs/>
              </w:rPr>
              <w:t xml:space="preserve">applied </w:t>
            </w:r>
            <w:r w:rsidRPr="00324CC6">
              <w:rPr>
                <w:rFonts w:ascii="Arial" w:hAnsi="Arial" w:cs="Arial"/>
                <w:bCs/>
                <w:iCs/>
              </w:rPr>
              <w:t>knowledge</w:t>
            </w:r>
            <w:r w:rsidR="000D060C" w:rsidRPr="00324CC6">
              <w:rPr>
                <w:rFonts w:ascii="Arial" w:hAnsi="Arial" w:cs="Arial"/>
                <w:bCs/>
                <w:iCs/>
              </w:rPr>
              <w:t>,</w:t>
            </w:r>
            <w:r w:rsidRPr="00324CC6">
              <w:rPr>
                <w:rFonts w:ascii="Arial" w:hAnsi="Arial" w:cs="Arial"/>
                <w:bCs/>
                <w:iCs/>
              </w:rPr>
              <w:t xml:space="preserve"> and to support them in assessing whether a student had met the required standard to proceed to treat</w:t>
            </w:r>
            <w:r w:rsidR="00483715" w:rsidRPr="00324CC6">
              <w:rPr>
                <w:rFonts w:ascii="Arial" w:hAnsi="Arial" w:cs="Arial"/>
                <w:bCs/>
                <w:iCs/>
              </w:rPr>
              <w:t>ing</w:t>
            </w:r>
            <w:r w:rsidRPr="00324CC6">
              <w:rPr>
                <w:rFonts w:ascii="Arial" w:hAnsi="Arial" w:cs="Arial"/>
                <w:bCs/>
                <w:iCs/>
              </w:rPr>
              <w:t xml:space="preserve"> patients. Where students are not ready to progress, the school put</w:t>
            </w:r>
            <w:r w:rsidR="00483715" w:rsidRPr="00324CC6">
              <w:rPr>
                <w:rFonts w:ascii="Arial" w:hAnsi="Arial" w:cs="Arial"/>
                <w:bCs/>
                <w:iCs/>
              </w:rPr>
              <w:t>s</w:t>
            </w:r>
            <w:r w:rsidRPr="00324CC6">
              <w:rPr>
                <w:rFonts w:ascii="Arial" w:hAnsi="Arial" w:cs="Arial"/>
                <w:bCs/>
                <w:iCs/>
              </w:rPr>
              <w:t xml:space="preserve"> in place individualised action plans which are regularly discussed with the students’ Academic Advisor. </w:t>
            </w:r>
          </w:p>
          <w:p w14:paraId="08D8EC34" w14:textId="77777777" w:rsidR="006F0226" w:rsidRPr="00044A9E" w:rsidRDefault="006F0226" w:rsidP="006F0226">
            <w:pPr>
              <w:tabs>
                <w:tab w:val="left" w:pos="720"/>
                <w:tab w:val="left" w:pos="9248"/>
              </w:tabs>
              <w:ind w:right="34"/>
              <w:rPr>
                <w:rFonts w:ascii="Arial" w:eastAsia="Calibri" w:hAnsi="Arial" w:cs="Arial"/>
                <w:color w:val="000000" w:themeColor="text1"/>
              </w:rPr>
            </w:pPr>
          </w:p>
          <w:p w14:paraId="15053E8F" w14:textId="16F31581" w:rsidR="00E2148E" w:rsidRDefault="00E2148E" w:rsidP="00A759EC">
            <w:pPr>
              <w:tabs>
                <w:tab w:val="left" w:pos="720"/>
                <w:tab w:val="left" w:pos="9214"/>
              </w:tabs>
              <w:ind w:right="34"/>
              <w:rPr>
                <w:rFonts w:ascii="Arial" w:eastAsia="Calibri" w:hAnsi="Arial" w:cs="Arial"/>
                <w:b/>
                <w:i/>
                <w:color w:val="000000" w:themeColor="text1"/>
              </w:rPr>
            </w:pPr>
            <w:r w:rsidRPr="00044A9E">
              <w:rPr>
                <w:rFonts w:ascii="Arial" w:eastAsia="Calibri" w:hAnsi="Arial" w:cs="Arial"/>
                <w:b/>
                <w:color w:val="000000" w:themeColor="text1"/>
              </w:rPr>
              <w:t xml:space="preserve">Requirement 2: Providers must have systems in place to inform patients that they may be treated by students and the possible implications of this. Patient agreement to </w:t>
            </w:r>
            <w:r w:rsidRPr="0015445F">
              <w:rPr>
                <w:rFonts w:ascii="Arial" w:eastAsia="Calibri" w:hAnsi="Arial" w:cs="Arial"/>
                <w:b/>
                <w:color w:val="000000" w:themeColor="text1"/>
              </w:rPr>
              <w:t xml:space="preserve">treatment by a student must be obtained and recorded prior to treatment commencing. </w:t>
            </w:r>
            <w:r w:rsidRPr="0015445F">
              <w:rPr>
                <w:rFonts w:ascii="Arial" w:eastAsia="Calibri" w:hAnsi="Arial" w:cs="Arial"/>
                <w:b/>
                <w:i/>
                <w:color w:val="000000" w:themeColor="text1"/>
              </w:rPr>
              <w:t>(Requirement Met)</w:t>
            </w:r>
          </w:p>
          <w:p w14:paraId="08BF31B5" w14:textId="77777777" w:rsidR="000F4D1B" w:rsidRDefault="000F4D1B" w:rsidP="00A759EC">
            <w:pPr>
              <w:tabs>
                <w:tab w:val="left" w:pos="720"/>
                <w:tab w:val="left" w:pos="9214"/>
              </w:tabs>
              <w:ind w:right="34"/>
              <w:rPr>
                <w:rFonts w:ascii="Arial" w:eastAsia="Calibri" w:hAnsi="Arial" w:cs="Arial"/>
                <w:b/>
                <w:i/>
                <w:color w:val="000000" w:themeColor="text1"/>
              </w:rPr>
            </w:pPr>
          </w:p>
          <w:p w14:paraId="797072F3" w14:textId="77777777" w:rsidR="00833C17" w:rsidRPr="00324CC6" w:rsidRDefault="00D6750D" w:rsidP="00A759EC">
            <w:pPr>
              <w:tabs>
                <w:tab w:val="left" w:pos="720"/>
                <w:tab w:val="left" w:pos="9214"/>
              </w:tabs>
              <w:ind w:right="34"/>
              <w:rPr>
                <w:rFonts w:ascii="Arial" w:eastAsia="Calibri" w:hAnsi="Arial" w:cs="Arial"/>
                <w:bCs/>
                <w:iCs/>
                <w:color w:val="000000" w:themeColor="text1"/>
              </w:rPr>
            </w:pPr>
            <w:r w:rsidRPr="00324CC6">
              <w:rPr>
                <w:rFonts w:ascii="Arial" w:eastAsia="Calibri" w:hAnsi="Arial" w:cs="Arial"/>
                <w:bCs/>
                <w:iCs/>
                <w:color w:val="000000" w:themeColor="text1"/>
              </w:rPr>
              <w:t>During the inspection t</w:t>
            </w:r>
            <w:r w:rsidR="000F4D1B" w:rsidRPr="00324CC6">
              <w:rPr>
                <w:rFonts w:ascii="Arial" w:eastAsia="Calibri" w:hAnsi="Arial" w:cs="Arial"/>
                <w:bCs/>
                <w:iCs/>
                <w:color w:val="000000" w:themeColor="text1"/>
              </w:rPr>
              <w:t xml:space="preserve">he panel witnessed clear procedures implemented to ensure that all patients were fully aware </w:t>
            </w:r>
            <w:r w:rsidR="00642ADD" w:rsidRPr="00324CC6">
              <w:rPr>
                <w:rFonts w:ascii="Arial" w:eastAsia="Calibri" w:hAnsi="Arial" w:cs="Arial"/>
                <w:bCs/>
                <w:iCs/>
                <w:color w:val="000000" w:themeColor="text1"/>
              </w:rPr>
              <w:t>they were undergoing</w:t>
            </w:r>
            <w:r w:rsidR="00C012D8" w:rsidRPr="00324CC6">
              <w:rPr>
                <w:rFonts w:ascii="Arial" w:eastAsia="Calibri" w:hAnsi="Arial" w:cs="Arial"/>
                <w:bCs/>
                <w:iCs/>
                <w:color w:val="000000" w:themeColor="text1"/>
              </w:rPr>
              <w:t xml:space="preserve"> treatment by a student</w:t>
            </w:r>
            <w:r w:rsidR="000F4D1B" w:rsidRPr="00324CC6">
              <w:rPr>
                <w:rFonts w:ascii="Arial" w:eastAsia="Calibri" w:hAnsi="Arial" w:cs="Arial"/>
                <w:bCs/>
                <w:iCs/>
                <w:color w:val="000000" w:themeColor="text1"/>
              </w:rPr>
              <w:t>. There were student consent forms actively being used within placements and clear posters and informative signs for patients</w:t>
            </w:r>
            <w:r w:rsidR="00C012D8" w:rsidRPr="00324CC6">
              <w:rPr>
                <w:rFonts w:ascii="Arial" w:eastAsia="Calibri" w:hAnsi="Arial" w:cs="Arial"/>
                <w:bCs/>
                <w:iCs/>
                <w:color w:val="000000" w:themeColor="text1"/>
              </w:rPr>
              <w:t xml:space="preserve"> throughout</w:t>
            </w:r>
            <w:r w:rsidR="000F4D1B" w:rsidRPr="00324CC6">
              <w:rPr>
                <w:rFonts w:ascii="Arial" w:eastAsia="Calibri" w:hAnsi="Arial" w:cs="Arial"/>
                <w:bCs/>
                <w:iCs/>
                <w:color w:val="000000" w:themeColor="text1"/>
              </w:rPr>
              <w:t xml:space="preserve"> the</w:t>
            </w:r>
            <w:r w:rsidR="00C012D8" w:rsidRPr="00324CC6">
              <w:rPr>
                <w:rFonts w:ascii="Arial" w:eastAsia="Calibri" w:hAnsi="Arial" w:cs="Arial"/>
                <w:bCs/>
                <w:iCs/>
                <w:color w:val="000000" w:themeColor="text1"/>
              </w:rPr>
              <w:t xml:space="preserve"> dental</w:t>
            </w:r>
            <w:r w:rsidR="000F4D1B" w:rsidRPr="00324CC6">
              <w:rPr>
                <w:rFonts w:ascii="Arial" w:eastAsia="Calibri" w:hAnsi="Arial" w:cs="Arial"/>
                <w:bCs/>
                <w:iCs/>
                <w:color w:val="000000" w:themeColor="text1"/>
              </w:rPr>
              <w:t xml:space="preserve"> hospital. </w:t>
            </w:r>
          </w:p>
          <w:p w14:paraId="3D0E86C2" w14:textId="77777777" w:rsidR="00833C17" w:rsidRPr="00324CC6" w:rsidRDefault="00833C17" w:rsidP="00A759EC">
            <w:pPr>
              <w:tabs>
                <w:tab w:val="left" w:pos="720"/>
                <w:tab w:val="left" w:pos="9214"/>
              </w:tabs>
              <w:ind w:right="34"/>
              <w:rPr>
                <w:rFonts w:ascii="Arial" w:eastAsia="Calibri" w:hAnsi="Arial" w:cs="Arial"/>
                <w:bCs/>
                <w:iCs/>
                <w:color w:val="000000" w:themeColor="text1"/>
              </w:rPr>
            </w:pPr>
          </w:p>
          <w:p w14:paraId="761E499F" w14:textId="58D95219" w:rsidR="000F4D1B" w:rsidRPr="00324CC6" w:rsidRDefault="000F4D1B" w:rsidP="00A759EC">
            <w:pPr>
              <w:tabs>
                <w:tab w:val="left" w:pos="720"/>
                <w:tab w:val="left" w:pos="9214"/>
              </w:tabs>
              <w:ind w:right="34"/>
              <w:rPr>
                <w:rFonts w:ascii="Arial" w:eastAsia="Calibri" w:hAnsi="Arial" w:cs="Arial"/>
                <w:bCs/>
                <w:iCs/>
                <w:color w:val="000000" w:themeColor="text1"/>
              </w:rPr>
            </w:pPr>
            <w:r w:rsidRPr="00324CC6">
              <w:rPr>
                <w:rFonts w:ascii="Arial" w:eastAsia="Calibri" w:hAnsi="Arial" w:cs="Arial"/>
                <w:bCs/>
                <w:iCs/>
                <w:color w:val="000000" w:themeColor="text1"/>
              </w:rPr>
              <w:t>Recording processes were</w:t>
            </w:r>
            <w:r w:rsidR="000D060C" w:rsidRPr="00324CC6">
              <w:rPr>
                <w:rFonts w:ascii="Arial" w:eastAsia="Calibri" w:hAnsi="Arial" w:cs="Arial"/>
                <w:bCs/>
                <w:iCs/>
                <w:color w:val="000000" w:themeColor="text1"/>
              </w:rPr>
              <w:t xml:space="preserve"> in place</w:t>
            </w:r>
            <w:r w:rsidRPr="00324CC6">
              <w:rPr>
                <w:rFonts w:ascii="Arial" w:eastAsia="Calibri" w:hAnsi="Arial" w:cs="Arial"/>
                <w:bCs/>
                <w:iCs/>
                <w:color w:val="000000" w:themeColor="text1"/>
              </w:rPr>
              <w:t xml:space="preserve"> to also ensure that patients were clear on the care they were going to receive and from whom</w:t>
            </w:r>
            <w:r w:rsidR="00642ADD" w:rsidRPr="00324CC6">
              <w:rPr>
                <w:rFonts w:ascii="Arial" w:eastAsia="Calibri" w:hAnsi="Arial" w:cs="Arial"/>
                <w:bCs/>
                <w:iCs/>
                <w:color w:val="000000" w:themeColor="text1"/>
              </w:rPr>
              <w:t xml:space="preserve">, which </w:t>
            </w:r>
            <w:r w:rsidR="00A8469C">
              <w:rPr>
                <w:rFonts w:ascii="Arial" w:eastAsia="Calibri" w:hAnsi="Arial" w:cs="Arial"/>
                <w:bCs/>
                <w:iCs/>
                <w:color w:val="000000" w:themeColor="text1"/>
              </w:rPr>
              <w:t>was</w:t>
            </w:r>
            <w:r w:rsidR="00642ADD" w:rsidRPr="00324CC6">
              <w:rPr>
                <w:rFonts w:ascii="Arial" w:eastAsia="Calibri" w:hAnsi="Arial" w:cs="Arial"/>
                <w:bCs/>
                <w:iCs/>
                <w:color w:val="000000" w:themeColor="text1"/>
              </w:rPr>
              <w:t xml:space="preserve"> supplemented by the fact that s</w:t>
            </w:r>
            <w:r w:rsidRPr="00324CC6">
              <w:rPr>
                <w:rFonts w:ascii="Arial" w:eastAsia="Calibri" w:hAnsi="Arial" w:cs="Arial"/>
                <w:bCs/>
                <w:iCs/>
                <w:color w:val="000000" w:themeColor="text1"/>
              </w:rPr>
              <w:t>tudents were expected to wear a defined uniform and badge</w:t>
            </w:r>
            <w:r w:rsidR="00642ADD" w:rsidRPr="00324CC6">
              <w:rPr>
                <w:rFonts w:ascii="Arial" w:eastAsia="Calibri" w:hAnsi="Arial" w:cs="Arial"/>
                <w:bCs/>
                <w:iCs/>
                <w:color w:val="000000" w:themeColor="text1"/>
              </w:rPr>
              <w:t>.</w:t>
            </w:r>
            <w:r w:rsidR="00881D88" w:rsidRPr="00324CC6">
              <w:rPr>
                <w:rFonts w:ascii="Arial" w:eastAsia="Calibri" w:hAnsi="Arial" w:cs="Arial"/>
                <w:bCs/>
                <w:iCs/>
                <w:color w:val="000000" w:themeColor="text1"/>
              </w:rPr>
              <w:t xml:space="preserve"> The panel were satisfied that this requirement has been met. </w:t>
            </w:r>
          </w:p>
          <w:p w14:paraId="053DA5B5" w14:textId="77777777" w:rsidR="00E2148E" w:rsidRPr="00044A9E" w:rsidRDefault="00E2148E" w:rsidP="00A759EC">
            <w:pPr>
              <w:tabs>
                <w:tab w:val="left" w:pos="720"/>
                <w:tab w:val="left" w:pos="9214"/>
              </w:tabs>
              <w:ind w:right="176"/>
              <w:rPr>
                <w:rFonts w:ascii="Arial" w:hAnsi="Arial" w:cs="Arial"/>
              </w:rPr>
            </w:pPr>
          </w:p>
          <w:p w14:paraId="1AD7F6F9" w14:textId="39447EDF" w:rsidR="00E2148E" w:rsidRPr="00044A9E" w:rsidRDefault="00E2148E" w:rsidP="00A759EC">
            <w:pPr>
              <w:tabs>
                <w:tab w:val="left" w:pos="720"/>
                <w:tab w:val="left" w:pos="9214"/>
              </w:tabs>
              <w:ind w:right="34"/>
              <w:rPr>
                <w:rFonts w:ascii="Arial" w:eastAsia="Calibri" w:hAnsi="Arial" w:cs="Arial"/>
                <w:b/>
                <w:i/>
                <w:color w:val="000000" w:themeColor="text1"/>
              </w:rPr>
            </w:pPr>
            <w:r w:rsidRPr="00044A9E">
              <w:rPr>
                <w:rFonts w:ascii="Arial" w:eastAsia="Calibri" w:hAnsi="Arial" w:cs="Arial"/>
                <w:b/>
                <w:color w:val="000000" w:themeColor="text1"/>
              </w:rPr>
              <w:t>Requirement 3: Students must only provide patient care in an environment which is safe and appropriate. The provider must comply with relevant legislation and requirements regarding patient care, including equality and diversity, wherever treatment tak</w:t>
            </w:r>
            <w:r w:rsidRPr="00873BE6">
              <w:rPr>
                <w:rFonts w:ascii="Arial" w:eastAsia="Calibri" w:hAnsi="Arial" w:cs="Arial"/>
                <w:b/>
                <w:color w:val="000000" w:themeColor="text1"/>
              </w:rPr>
              <w:t xml:space="preserve">es place. </w:t>
            </w:r>
            <w:r w:rsidRPr="00873BE6">
              <w:rPr>
                <w:rFonts w:ascii="Arial" w:eastAsia="Calibri" w:hAnsi="Arial" w:cs="Arial"/>
                <w:b/>
                <w:i/>
                <w:color w:val="000000" w:themeColor="text1"/>
              </w:rPr>
              <w:t>(Requirement Met)</w:t>
            </w:r>
          </w:p>
          <w:p w14:paraId="00EE3371" w14:textId="77777777" w:rsidR="000E18CB" w:rsidRDefault="000E18CB" w:rsidP="00A759EC">
            <w:pPr>
              <w:tabs>
                <w:tab w:val="left" w:pos="720"/>
                <w:tab w:val="left" w:pos="9214"/>
              </w:tabs>
              <w:ind w:right="34"/>
              <w:rPr>
                <w:rFonts w:ascii="Arial" w:eastAsia="Calibri" w:hAnsi="Arial" w:cs="Arial"/>
                <w:b/>
                <w:i/>
                <w:color w:val="000000" w:themeColor="text1"/>
              </w:rPr>
            </w:pPr>
          </w:p>
          <w:p w14:paraId="19632D60" w14:textId="7A91B607" w:rsidR="00D568DF" w:rsidRPr="00FF368B" w:rsidRDefault="00D568DF" w:rsidP="00A759EC">
            <w:pPr>
              <w:tabs>
                <w:tab w:val="left" w:pos="720"/>
                <w:tab w:val="left" w:pos="9214"/>
              </w:tabs>
              <w:ind w:right="34"/>
              <w:rPr>
                <w:rFonts w:ascii="Arial" w:eastAsia="Calibri" w:hAnsi="Arial" w:cs="Arial"/>
                <w:bCs/>
                <w:iCs/>
                <w:color w:val="000000" w:themeColor="text1"/>
              </w:rPr>
            </w:pPr>
            <w:r w:rsidRPr="00FF368B">
              <w:rPr>
                <w:rFonts w:ascii="Arial" w:eastAsia="Calibri" w:hAnsi="Arial" w:cs="Arial"/>
                <w:bCs/>
                <w:iCs/>
                <w:color w:val="000000" w:themeColor="text1"/>
              </w:rPr>
              <w:t xml:space="preserve">The dental school clearly demonstrated that the requirements and relevant legislation </w:t>
            </w:r>
            <w:r w:rsidR="006C3C9D" w:rsidRPr="00FF368B">
              <w:rPr>
                <w:rFonts w:ascii="Arial" w:eastAsia="Calibri" w:hAnsi="Arial" w:cs="Arial"/>
                <w:bCs/>
                <w:iCs/>
                <w:color w:val="000000" w:themeColor="text1"/>
              </w:rPr>
              <w:t>regarding</w:t>
            </w:r>
            <w:r w:rsidRPr="00FF368B">
              <w:rPr>
                <w:rFonts w:ascii="Arial" w:eastAsia="Calibri" w:hAnsi="Arial" w:cs="Arial"/>
                <w:bCs/>
                <w:iCs/>
                <w:color w:val="000000" w:themeColor="text1"/>
              </w:rPr>
              <w:t xml:space="preserve"> patient care were in place</w:t>
            </w:r>
            <w:r w:rsidR="006C3C9D">
              <w:rPr>
                <w:rFonts w:ascii="Arial" w:eastAsia="Calibri" w:hAnsi="Arial" w:cs="Arial"/>
                <w:bCs/>
                <w:iCs/>
                <w:color w:val="000000" w:themeColor="text1"/>
              </w:rPr>
              <w:t>,</w:t>
            </w:r>
            <w:r w:rsidRPr="00FF368B">
              <w:rPr>
                <w:rFonts w:ascii="Arial" w:eastAsia="Calibri" w:hAnsi="Arial" w:cs="Arial"/>
                <w:bCs/>
                <w:iCs/>
                <w:color w:val="000000" w:themeColor="text1"/>
              </w:rPr>
              <w:t xml:space="preserve"> which led the panel to feel they had sufficiently met this requirement. The</w:t>
            </w:r>
            <w:r w:rsidR="007E10E5" w:rsidRPr="00FF368B">
              <w:rPr>
                <w:rFonts w:ascii="Arial" w:eastAsia="Calibri" w:hAnsi="Arial" w:cs="Arial"/>
                <w:bCs/>
                <w:iCs/>
                <w:color w:val="000000" w:themeColor="text1"/>
              </w:rPr>
              <w:t xml:space="preserve"> panel noted that the</w:t>
            </w:r>
            <w:r w:rsidRPr="00FF368B">
              <w:rPr>
                <w:rFonts w:ascii="Arial" w:eastAsia="Calibri" w:hAnsi="Arial" w:cs="Arial"/>
                <w:bCs/>
                <w:iCs/>
                <w:color w:val="000000" w:themeColor="text1"/>
              </w:rPr>
              <w:t xml:space="preserve"> university had raise</w:t>
            </w:r>
            <w:r w:rsidR="000265E6" w:rsidRPr="00FF368B">
              <w:rPr>
                <w:rFonts w:ascii="Arial" w:eastAsia="Calibri" w:hAnsi="Arial" w:cs="Arial"/>
                <w:bCs/>
                <w:iCs/>
                <w:color w:val="000000" w:themeColor="text1"/>
              </w:rPr>
              <w:t>d</w:t>
            </w:r>
            <w:r w:rsidRPr="00FF368B">
              <w:rPr>
                <w:rFonts w:ascii="Arial" w:eastAsia="Calibri" w:hAnsi="Arial" w:cs="Arial"/>
                <w:bCs/>
                <w:iCs/>
                <w:color w:val="000000" w:themeColor="text1"/>
              </w:rPr>
              <w:t xml:space="preserve"> </w:t>
            </w:r>
            <w:r w:rsidR="000265E6" w:rsidRPr="00FF368B">
              <w:rPr>
                <w:rFonts w:ascii="Arial" w:eastAsia="Calibri" w:hAnsi="Arial" w:cs="Arial"/>
                <w:bCs/>
                <w:iCs/>
                <w:color w:val="000000" w:themeColor="text1"/>
              </w:rPr>
              <w:t>the</w:t>
            </w:r>
            <w:r w:rsidRPr="00FF368B">
              <w:rPr>
                <w:rFonts w:ascii="Arial" w:eastAsia="Calibri" w:hAnsi="Arial" w:cs="Arial"/>
                <w:bCs/>
                <w:iCs/>
                <w:color w:val="000000" w:themeColor="text1"/>
              </w:rPr>
              <w:t xml:space="preserve"> awareness of equality and diversity amongst staff, students and patients. </w:t>
            </w:r>
            <w:r w:rsidR="009D2B60" w:rsidRPr="00FF368B">
              <w:rPr>
                <w:rFonts w:ascii="Arial" w:eastAsia="Calibri" w:hAnsi="Arial" w:cs="Arial"/>
                <w:bCs/>
                <w:iCs/>
                <w:color w:val="000000" w:themeColor="text1"/>
              </w:rPr>
              <w:t>During the inspection t</w:t>
            </w:r>
            <w:r w:rsidRPr="00FF368B">
              <w:rPr>
                <w:rFonts w:ascii="Arial" w:eastAsia="Calibri" w:hAnsi="Arial" w:cs="Arial"/>
                <w:bCs/>
                <w:iCs/>
                <w:color w:val="000000" w:themeColor="text1"/>
              </w:rPr>
              <w:t xml:space="preserve">he panel saw posters </w:t>
            </w:r>
            <w:r w:rsidRPr="00FF368B">
              <w:rPr>
                <w:rFonts w:ascii="Arial" w:eastAsia="Calibri" w:hAnsi="Arial" w:cs="Arial"/>
                <w:bCs/>
                <w:iCs/>
                <w:color w:val="000000" w:themeColor="text1"/>
              </w:rPr>
              <w:lastRenderedPageBreak/>
              <w:t xml:space="preserve">around the dental hospital referencing patient care and equality and diversity demonstrating awareness of the risks. </w:t>
            </w:r>
          </w:p>
          <w:p w14:paraId="5928864F" w14:textId="77777777" w:rsidR="00D568DF" w:rsidRPr="00FF368B" w:rsidRDefault="00D568DF" w:rsidP="00A759EC">
            <w:pPr>
              <w:tabs>
                <w:tab w:val="left" w:pos="720"/>
                <w:tab w:val="left" w:pos="9214"/>
              </w:tabs>
              <w:ind w:right="34"/>
              <w:rPr>
                <w:rFonts w:ascii="Arial" w:eastAsia="Calibri" w:hAnsi="Arial" w:cs="Arial"/>
                <w:bCs/>
                <w:iCs/>
                <w:color w:val="000000" w:themeColor="text1"/>
              </w:rPr>
            </w:pPr>
          </w:p>
          <w:p w14:paraId="074E33E3" w14:textId="303F043A" w:rsidR="00D568DF" w:rsidRPr="00FF368B" w:rsidRDefault="00642ADD" w:rsidP="00A759EC">
            <w:pPr>
              <w:tabs>
                <w:tab w:val="left" w:pos="720"/>
                <w:tab w:val="left" w:pos="9214"/>
              </w:tabs>
              <w:ind w:right="34"/>
              <w:rPr>
                <w:rFonts w:ascii="Arial" w:eastAsia="Calibri" w:hAnsi="Arial" w:cs="Arial"/>
                <w:bCs/>
                <w:iCs/>
                <w:color w:val="000000" w:themeColor="text1"/>
              </w:rPr>
            </w:pPr>
            <w:r w:rsidRPr="00FF368B">
              <w:rPr>
                <w:rFonts w:ascii="Arial" w:eastAsia="Calibri" w:hAnsi="Arial" w:cs="Arial"/>
                <w:bCs/>
                <w:iCs/>
                <w:color w:val="000000" w:themeColor="text1"/>
              </w:rPr>
              <w:t>An impromptu fire drill during the inspection gave the panel great confidence that procedures were in place and s</w:t>
            </w:r>
            <w:r w:rsidR="00D568DF" w:rsidRPr="00FF368B">
              <w:rPr>
                <w:rFonts w:ascii="Arial" w:eastAsia="Calibri" w:hAnsi="Arial" w:cs="Arial"/>
                <w:bCs/>
                <w:iCs/>
                <w:color w:val="000000" w:themeColor="text1"/>
              </w:rPr>
              <w:t>tudents and staff demonstrated</w:t>
            </w:r>
            <w:r w:rsidR="003C2C16" w:rsidRPr="00FF368B">
              <w:rPr>
                <w:rFonts w:ascii="Arial" w:eastAsia="Calibri" w:hAnsi="Arial" w:cs="Arial"/>
                <w:bCs/>
                <w:iCs/>
                <w:color w:val="000000" w:themeColor="text1"/>
              </w:rPr>
              <w:t xml:space="preserve"> a</w:t>
            </w:r>
            <w:r w:rsidR="00D568DF" w:rsidRPr="00FF368B">
              <w:rPr>
                <w:rFonts w:ascii="Arial" w:eastAsia="Calibri" w:hAnsi="Arial" w:cs="Arial"/>
                <w:bCs/>
                <w:iCs/>
                <w:color w:val="000000" w:themeColor="text1"/>
              </w:rPr>
              <w:t xml:space="preserve"> clear understanding of the process. </w:t>
            </w:r>
          </w:p>
          <w:p w14:paraId="0D58DEEC" w14:textId="079D5363" w:rsidR="00D568DF" w:rsidRPr="00FF368B" w:rsidRDefault="00D568DF" w:rsidP="00A759EC">
            <w:pPr>
              <w:tabs>
                <w:tab w:val="left" w:pos="720"/>
                <w:tab w:val="left" w:pos="9214"/>
              </w:tabs>
              <w:ind w:right="34"/>
              <w:rPr>
                <w:rFonts w:ascii="Arial" w:eastAsia="Calibri" w:hAnsi="Arial" w:cs="Arial"/>
                <w:bCs/>
                <w:iCs/>
                <w:color w:val="000000" w:themeColor="text1"/>
              </w:rPr>
            </w:pPr>
          </w:p>
          <w:p w14:paraId="6254AE81" w14:textId="4D114FEC" w:rsidR="00D568DF" w:rsidRPr="00FF368B" w:rsidRDefault="00D07A5A" w:rsidP="00A759EC">
            <w:pPr>
              <w:tabs>
                <w:tab w:val="left" w:pos="720"/>
                <w:tab w:val="left" w:pos="9214"/>
              </w:tabs>
              <w:ind w:right="34"/>
              <w:rPr>
                <w:rFonts w:ascii="Arial" w:eastAsia="Calibri" w:hAnsi="Arial" w:cs="Arial"/>
                <w:bCs/>
                <w:iCs/>
                <w:color w:val="000000" w:themeColor="text1"/>
              </w:rPr>
            </w:pPr>
            <w:r w:rsidRPr="00FF368B">
              <w:rPr>
                <w:rFonts w:ascii="Arial" w:eastAsia="Calibri" w:hAnsi="Arial" w:cs="Arial"/>
                <w:bCs/>
                <w:iCs/>
                <w:color w:val="000000" w:themeColor="text1"/>
              </w:rPr>
              <w:t>During th</w:t>
            </w:r>
            <w:r w:rsidR="00D568DF" w:rsidRPr="00FF368B">
              <w:rPr>
                <w:rFonts w:ascii="Arial" w:eastAsia="Calibri" w:hAnsi="Arial" w:cs="Arial"/>
                <w:bCs/>
                <w:iCs/>
                <w:color w:val="000000" w:themeColor="text1"/>
              </w:rPr>
              <w:t xml:space="preserve">e tour of the clinical areas </w:t>
            </w:r>
            <w:r w:rsidRPr="00FF368B">
              <w:rPr>
                <w:rFonts w:ascii="Arial" w:eastAsia="Calibri" w:hAnsi="Arial" w:cs="Arial"/>
                <w:bCs/>
                <w:iCs/>
                <w:color w:val="000000" w:themeColor="text1"/>
              </w:rPr>
              <w:t>the</w:t>
            </w:r>
            <w:r w:rsidR="00D568DF" w:rsidRPr="00FF368B">
              <w:rPr>
                <w:rFonts w:ascii="Arial" w:eastAsia="Calibri" w:hAnsi="Arial" w:cs="Arial"/>
                <w:bCs/>
                <w:iCs/>
                <w:color w:val="000000" w:themeColor="text1"/>
              </w:rPr>
              <w:t xml:space="preserve"> panel</w:t>
            </w:r>
            <w:r w:rsidR="00BA640B" w:rsidRPr="00FF368B">
              <w:rPr>
                <w:rFonts w:ascii="Arial" w:eastAsia="Calibri" w:hAnsi="Arial" w:cs="Arial"/>
                <w:bCs/>
                <w:iCs/>
                <w:color w:val="000000" w:themeColor="text1"/>
              </w:rPr>
              <w:t xml:space="preserve"> noted</w:t>
            </w:r>
            <w:r w:rsidR="00D568DF" w:rsidRPr="00FF368B">
              <w:rPr>
                <w:rFonts w:ascii="Arial" w:eastAsia="Calibri" w:hAnsi="Arial" w:cs="Arial"/>
                <w:bCs/>
                <w:iCs/>
                <w:color w:val="000000" w:themeColor="text1"/>
              </w:rPr>
              <w:t xml:space="preserve"> that facilities </w:t>
            </w:r>
            <w:r w:rsidR="00642ADD" w:rsidRPr="00FF368B">
              <w:rPr>
                <w:rFonts w:ascii="Arial" w:eastAsia="Calibri" w:hAnsi="Arial" w:cs="Arial"/>
                <w:bCs/>
                <w:iCs/>
                <w:color w:val="000000" w:themeColor="text1"/>
              </w:rPr>
              <w:t>were of a good standard</w:t>
            </w:r>
            <w:r w:rsidR="00D568DF" w:rsidRPr="00FF368B">
              <w:rPr>
                <w:rFonts w:ascii="Arial" w:eastAsia="Calibri" w:hAnsi="Arial" w:cs="Arial"/>
                <w:bCs/>
                <w:iCs/>
                <w:color w:val="000000" w:themeColor="text1"/>
              </w:rPr>
              <w:t>. There were some advanced areas of clinical space with a particular reference to the decontamination and</w:t>
            </w:r>
            <w:r w:rsidR="00DB497B">
              <w:rPr>
                <w:rFonts w:ascii="Arial" w:eastAsia="Calibri" w:hAnsi="Arial" w:cs="Arial"/>
                <w:bCs/>
                <w:iCs/>
                <w:color w:val="000000" w:themeColor="text1"/>
              </w:rPr>
              <w:t xml:space="preserve"> the haptics</w:t>
            </w:r>
            <w:r w:rsidR="00D568DF" w:rsidRPr="00FF368B">
              <w:rPr>
                <w:rFonts w:ascii="Arial" w:eastAsia="Calibri" w:hAnsi="Arial" w:cs="Arial"/>
                <w:bCs/>
                <w:iCs/>
                <w:color w:val="000000" w:themeColor="text1"/>
              </w:rPr>
              <w:t xml:space="preserve"> training suite</w:t>
            </w:r>
            <w:r w:rsidR="004508C5">
              <w:rPr>
                <w:rFonts w:ascii="Arial" w:eastAsia="Calibri" w:hAnsi="Arial" w:cs="Arial"/>
                <w:bCs/>
                <w:iCs/>
                <w:color w:val="000000" w:themeColor="text1"/>
              </w:rPr>
              <w:t>s</w:t>
            </w:r>
            <w:r w:rsidR="00D568DF" w:rsidRPr="00FF368B">
              <w:rPr>
                <w:rFonts w:ascii="Arial" w:eastAsia="Calibri" w:hAnsi="Arial" w:cs="Arial"/>
                <w:bCs/>
                <w:iCs/>
                <w:color w:val="000000" w:themeColor="text1"/>
              </w:rPr>
              <w:t xml:space="preserve">. All clinical areas were clean, safe and appropriate for use and this is supported in the </w:t>
            </w:r>
            <w:r w:rsidR="007C1B7A" w:rsidRPr="00FF368B">
              <w:rPr>
                <w:rFonts w:ascii="Arial" w:eastAsia="Calibri" w:hAnsi="Arial" w:cs="Arial"/>
                <w:bCs/>
                <w:iCs/>
                <w:color w:val="000000" w:themeColor="text1"/>
              </w:rPr>
              <w:t>dental hospital’s</w:t>
            </w:r>
            <w:r w:rsidR="00D568DF" w:rsidRPr="00FF368B">
              <w:rPr>
                <w:rFonts w:ascii="Arial" w:eastAsia="Calibri" w:hAnsi="Arial" w:cs="Arial"/>
                <w:bCs/>
                <w:iCs/>
                <w:color w:val="000000" w:themeColor="text1"/>
              </w:rPr>
              <w:t xml:space="preserve"> most recent CQC report. </w:t>
            </w:r>
          </w:p>
          <w:p w14:paraId="79B38032" w14:textId="77777777" w:rsidR="00E2148E" w:rsidRPr="00044A9E" w:rsidRDefault="00E2148E" w:rsidP="00A759EC">
            <w:pPr>
              <w:tabs>
                <w:tab w:val="left" w:pos="720"/>
                <w:tab w:val="left" w:pos="9214"/>
              </w:tabs>
              <w:ind w:left="357" w:right="2789" w:hanging="357"/>
              <w:rPr>
                <w:rFonts w:ascii="Arial" w:eastAsia="Calibri" w:hAnsi="Arial" w:cs="Arial"/>
                <w:color w:val="000000" w:themeColor="text1"/>
              </w:rPr>
            </w:pPr>
          </w:p>
          <w:p w14:paraId="7649FE10" w14:textId="722DF33E" w:rsidR="00E2148E" w:rsidRDefault="00E2148E" w:rsidP="00A759EC">
            <w:pPr>
              <w:tabs>
                <w:tab w:val="left" w:pos="720"/>
                <w:tab w:val="left" w:pos="9214"/>
              </w:tabs>
              <w:ind w:right="34"/>
              <w:rPr>
                <w:rFonts w:ascii="Arial" w:eastAsia="Calibri" w:hAnsi="Arial" w:cs="Arial"/>
                <w:b/>
                <w:i/>
                <w:color w:val="000000" w:themeColor="text1"/>
              </w:rPr>
            </w:pPr>
            <w:r w:rsidRPr="00044A9E">
              <w:rPr>
                <w:rFonts w:ascii="Arial" w:eastAsia="Calibri" w:hAnsi="Arial" w:cs="Arial"/>
                <w:b/>
                <w:color w:val="000000" w:themeColor="text1"/>
              </w:rPr>
              <w:t xml:space="preserve">Requirement 4: When providing patient care and services, providers must ensure that students are </w:t>
            </w:r>
            <w:r w:rsidRPr="00A12D08">
              <w:rPr>
                <w:rFonts w:ascii="Arial" w:eastAsia="Calibri" w:hAnsi="Arial" w:cs="Arial"/>
                <w:b/>
                <w:color w:val="000000" w:themeColor="text1"/>
              </w:rPr>
              <w:t xml:space="preserve">supervised appropriately according to the activity and the student’s stage of development. </w:t>
            </w:r>
            <w:r w:rsidRPr="00A12D08">
              <w:rPr>
                <w:rFonts w:ascii="Arial" w:eastAsia="Calibri" w:hAnsi="Arial" w:cs="Arial"/>
                <w:b/>
                <w:i/>
                <w:color w:val="000000" w:themeColor="text1"/>
              </w:rPr>
              <w:t>(Requirement</w:t>
            </w:r>
            <w:r w:rsidR="004A6178" w:rsidRPr="00A12D08">
              <w:rPr>
                <w:rFonts w:ascii="Arial" w:eastAsia="Calibri" w:hAnsi="Arial" w:cs="Arial"/>
                <w:b/>
                <w:i/>
                <w:color w:val="000000" w:themeColor="text1"/>
              </w:rPr>
              <w:t xml:space="preserve"> </w:t>
            </w:r>
            <w:r w:rsidR="003835BD" w:rsidRPr="00A12D08">
              <w:rPr>
                <w:rFonts w:ascii="Arial" w:eastAsia="Calibri" w:hAnsi="Arial" w:cs="Arial"/>
                <w:b/>
                <w:i/>
                <w:color w:val="000000" w:themeColor="text1"/>
              </w:rPr>
              <w:t>Met</w:t>
            </w:r>
            <w:r w:rsidRPr="00A12D08">
              <w:rPr>
                <w:rFonts w:ascii="Arial" w:eastAsia="Calibri" w:hAnsi="Arial" w:cs="Arial"/>
                <w:b/>
                <w:i/>
                <w:color w:val="000000" w:themeColor="text1"/>
              </w:rPr>
              <w:t>)</w:t>
            </w:r>
          </w:p>
          <w:p w14:paraId="17FDD607" w14:textId="77777777" w:rsidR="00A12D08" w:rsidRDefault="00A12D08" w:rsidP="00A759EC">
            <w:pPr>
              <w:tabs>
                <w:tab w:val="left" w:pos="720"/>
                <w:tab w:val="left" w:pos="9214"/>
              </w:tabs>
              <w:ind w:right="34"/>
              <w:rPr>
                <w:rFonts w:ascii="Arial" w:eastAsia="Calibri" w:hAnsi="Arial" w:cs="Arial"/>
                <w:b/>
                <w:i/>
                <w:color w:val="000000" w:themeColor="text1"/>
              </w:rPr>
            </w:pPr>
          </w:p>
          <w:p w14:paraId="6585B1BD" w14:textId="54D37320" w:rsidR="00A12D08" w:rsidRPr="005B65D1" w:rsidRDefault="00642ADD" w:rsidP="00A759EC">
            <w:pPr>
              <w:tabs>
                <w:tab w:val="left" w:pos="720"/>
                <w:tab w:val="left" w:pos="9214"/>
              </w:tabs>
              <w:ind w:right="34"/>
              <w:rPr>
                <w:rFonts w:ascii="Arial" w:eastAsia="Calibri" w:hAnsi="Arial" w:cs="Arial"/>
                <w:bCs/>
                <w:iCs/>
                <w:color w:val="000000" w:themeColor="text1"/>
              </w:rPr>
            </w:pPr>
            <w:r w:rsidRPr="005B65D1">
              <w:rPr>
                <w:rFonts w:ascii="Arial" w:eastAsia="Calibri" w:hAnsi="Arial" w:cs="Arial"/>
                <w:bCs/>
                <w:iCs/>
                <w:color w:val="000000" w:themeColor="text1"/>
              </w:rPr>
              <w:t xml:space="preserve">The </w:t>
            </w:r>
            <w:r w:rsidR="00FF368B" w:rsidRPr="005B65D1">
              <w:rPr>
                <w:rFonts w:ascii="Arial" w:eastAsia="Calibri" w:hAnsi="Arial" w:cs="Arial"/>
                <w:bCs/>
                <w:iCs/>
                <w:color w:val="000000" w:themeColor="text1"/>
              </w:rPr>
              <w:t>school’s</w:t>
            </w:r>
            <w:r w:rsidRPr="005B65D1">
              <w:rPr>
                <w:rFonts w:ascii="Arial" w:eastAsia="Calibri" w:hAnsi="Arial" w:cs="Arial"/>
                <w:bCs/>
                <w:iCs/>
                <w:color w:val="000000" w:themeColor="text1"/>
              </w:rPr>
              <w:t xml:space="preserve"> usual </w:t>
            </w:r>
            <w:r w:rsidR="00EC0C69">
              <w:rPr>
                <w:rFonts w:ascii="Arial" w:eastAsia="Calibri" w:hAnsi="Arial" w:cs="Arial"/>
                <w:bCs/>
                <w:iCs/>
                <w:color w:val="000000" w:themeColor="text1"/>
              </w:rPr>
              <w:t xml:space="preserve">staff to student </w:t>
            </w:r>
            <w:r w:rsidRPr="005B65D1">
              <w:rPr>
                <w:rFonts w:ascii="Arial" w:eastAsia="Calibri" w:hAnsi="Arial" w:cs="Arial"/>
                <w:bCs/>
                <w:iCs/>
                <w:color w:val="000000" w:themeColor="text1"/>
              </w:rPr>
              <w:t xml:space="preserve">ratio of 1:6 was in line with </w:t>
            </w:r>
            <w:r w:rsidR="00EB6E22" w:rsidRPr="005B65D1">
              <w:rPr>
                <w:rFonts w:ascii="Arial" w:eastAsia="Calibri" w:hAnsi="Arial" w:cs="Arial"/>
                <w:bCs/>
                <w:iCs/>
                <w:color w:val="000000" w:themeColor="text1"/>
              </w:rPr>
              <w:t xml:space="preserve">the panel’s </w:t>
            </w:r>
            <w:r w:rsidRPr="005B65D1">
              <w:rPr>
                <w:rFonts w:ascii="Arial" w:eastAsia="Calibri" w:hAnsi="Arial" w:cs="Arial"/>
                <w:bCs/>
                <w:iCs/>
                <w:color w:val="000000" w:themeColor="text1"/>
              </w:rPr>
              <w:t>expectations. This</w:t>
            </w:r>
            <w:r w:rsidR="00EB6E22" w:rsidRPr="005B65D1">
              <w:rPr>
                <w:rFonts w:ascii="Arial" w:eastAsia="Calibri" w:hAnsi="Arial" w:cs="Arial"/>
                <w:bCs/>
                <w:iCs/>
                <w:color w:val="000000" w:themeColor="text1"/>
              </w:rPr>
              <w:t xml:space="preserve"> was enhanced by</w:t>
            </w:r>
            <w:r w:rsidRPr="005B65D1">
              <w:rPr>
                <w:rFonts w:ascii="Arial" w:eastAsia="Calibri" w:hAnsi="Arial" w:cs="Arial"/>
                <w:bCs/>
                <w:iCs/>
                <w:color w:val="000000" w:themeColor="text1"/>
              </w:rPr>
              <w:t xml:space="preserve"> the fact that regularly the school undertook 1:1 or 1:3 ratio clinical experience</w:t>
            </w:r>
            <w:r w:rsidR="00BC6BCD" w:rsidRPr="005B65D1">
              <w:rPr>
                <w:rFonts w:ascii="Arial" w:eastAsia="Calibri" w:hAnsi="Arial" w:cs="Arial"/>
                <w:bCs/>
                <w:iCs/>
                <w:color w:val="000000" w:themeColor="text1"/>
              </w:rPr>
              <w:t>, which</w:t>
            </w:r>
            <w:r w:rsidRPr="005B65D1">
              <w:rPr>
                <w:rFonts w:ascii="Arial" w:eastAsia="Calibri" w:hAnsi="Arial" w:cs="Arial"/>
                <w:bCs/>
                <w:iCs/>
                <w:color w:val="000000" w:themeColor="text1"/>
              </w:rPr>
              <w:t xml:space="preserve"> meant that individual and decisive instruction could be given to students. Students expressed the supportive nature of the </w:t>
            </w:r>
            <w:r w:rsidR="0071181C" w:rsidRPr="005B65D1">
              <w:rPr>
                <w:rFonts w:ascii="Arial" w:eastAsia="Calibri" w:hAnsi="Arial" w:cs="Arial"/>
                <w:bCs/>
                <w:iCs/>
                <w:color w:val="000000" w:themeColor="text1"/>
              </w:rPr>
              <w:t>school’s</w:t>
            </w:r>
            <w:r w:rsidRPr="005B65D1">
              <w:rPr>
                <w:rFonts w:ascii="Arial" w:eastAsia="Calibri" w:hAnsi="Arial" w:cs="Arial"/>
                <w:bCs/>
                <w:iCs/>
                <w:color w:val="000000" w:themeColor="text1"/>
              </w:rPr>
              <w:t xml:space="preserve"> faculty and explained that when timetabling </w:t>
            </w:r>
            <w:r w:rsidR="004508C5">
              <w:rPr>
                <w:rFonts w:ascii="Arial" w:eastAsia="Calibri" w:hAnsi="Arial" w:cs="Arial"/>
                <w:bCs/>
                <w:iCs/>
                <w:color w:val="000000" w:themeColor="text1"/>
              </w:rPr>
              <w:t>issues</w:t>
            </w:r>
            <w:r w:rsidR="004508C5" w:rsidRPr="005B65D1">
              <w:rPr>
                <w:rFonts w:ascii="Arial" w:eastAsia="Calibri" w:hAnsi="Arial" w:cs="Arial"/>
                <w:bCs/>
                <w:iCs/>
                <w:color w:val="000000" w:themeColor="text1"/>
              </w:rPr>
              <w:t xml:space="preserve"> </w:t>
            </w:r>
            <w:r w:rsidRPr="005B65D1">
              <w:rPr>
                <w:rFonts w:ascii="Arial" w:eastAsia="Calibri" w:hAnsi="Arial" w:cs="Arial"/>
                <w:bCs/>
                <w:iCs/>
                <w:color w:val="000000" w:themeColor="text1"/>
              </w:rPr>
              <w:t>have occurred in terms of clinical time or absent staff, the school rectifie</w:t>
            </w:r>
            <w:r w:rsidR="00AB6B74">
              <w:rPr>
                <w:rFonts w:ascii="Arial" w:eastAsia="Calibri" w:hAnsi="Arial" w:cs="Arial"/>
                <w:bCs/>
                <w:iCs/>
                <w:color w:val="000000" w:themeColor="text1"/>
              </w:rPr>
              <w:t>d</w:t>
            </w:r>
            <w:r w:rsidRPr="005B65D1">
              <w:rPr>
                <w:rFonts w:ascii="Arial" w:eastAsia="Calibri" w:hAnsi="Arial" w:cs="Arial"/>
                <w:bCs/>
                <w:iCs/>
                <w:color w:val="000000" w:themeColor="text1"/>
              </w:rPr>
              <w:t xml:space="preserve"> the issue quickly</w:t>
            </w:r>
            <w:r w:rsidR="007E1C9C" w:rsidRPr="005B65D1">
              <w:rPr>
                <w:rFonts w:ascii="Arial" w:eastAsia="Calibri" w:hAnsi="Arial" w:cs="Arial"/>
                <w:bCs/>
                <w:iCs/>
                <w:color w:val="000000" w:themeColor="text1"/>
              </w:rPr>
              <w:t>,</w:t>
            </w:r>
            <w:r w:rsidRPr="005B65D1">
              <w:rPr>
                <w:rFonts w:ascii="Arial" w:eastAsia="Calibri" w:hAnsi="Arial" w:cs="Arial"/>
                <w:bCs/>
                <w:iCs/>
                <w:color w:val="000000" w:themeColor="text1"/>
              </w:rPr>
              <w:t xml:space="preserve"> which enable</w:t>
            </w:r>
            <w:r w:rsidR="00AB6B74">
              <w:rPr>
                <w:rFonts w:ascii="Arial" w:eastAsia="Calibri" w:hAnsi="Arial" w:cs="Arial"/>
                <w:bCs/>
                <w:iCs/>
                <w:color w:val="000000" w:themeColor="text1"/>
              </w:rPr>
              <w:t>d</w:t>
            </w:r>
            <w:r w:rsidRPr="005B65D1">
              <w:rPr>
                <w:rFonts w:ascii="Arial" w:eastAsia="Calibri" w:hAnsi="Arial" w:cs="Arial"/>
                <w:bCs/>
                <w:iCs/>
                <w:color w:val="000000" w:themeColor="text1"/>
              </w:rPr>
              <w:t xml:space="preserve"> the student to undertake all the relevant supervised clinical experience. All supervising staff undergo appropriate regular training.</w:t>
            </w:r>
            <w:r w:rsidR="0071181C" w:rsidRPr="005B65D1">
              <w:rPr>
                <w:rFonts w:ascii="Arial" w:eastAsia="Calibri" w:hAnsi="Arial" w:cs="Arial"/>
                <w:bCs/>
                <w:iCs/>
                <w:color w:val="000000" w:themeColor="text1"/>
              </w:rPr>
              <w:t xml:space="preserve"> </w:t>
            </w:r>
          </w:p>
          <w:p w14:paraId="2CB6387C" w14:textId="77777777" w:rsidR="00642ADD" w:rsidRPr="005B65D1" w:rsidRDefault="00642ADD" w:rsidP="00A759EC">
            <w:pPr>
              <w:tabs>
                <w:tab w:val="left" w:pos="720"/>
                <w:tab w:val="left" w:pos="9214"/>
              </w:tabs>
              <w:ind w:right="34"/>
              <w:rPr>
                <w:rFonts w:ascii="Arial" w:eastAsia="Calibri" w:hAnsi="Arial" w:cs="Arial"/>
                <w:bCs/>
                <w:iCs/>
                <w:color w:val="000000" w:themeColor="text1"/>
              </w:rPr>
            </w:pPr>
          </w:p>
          <w:p w14:paraId="2AFD6CE8" w14:textId="58F08D55" w:rsidR="00656B3E" w:rsidRPr="005B65D1" w:rsidRDefault="00642ADD" w:rsidP="00A759EC">
            <w:pPr>
              <w:tabs>
                <w:tab w:val="left" w:pos="720"/>
                <w:tab w:val="left" w:pos="9214"/>
              </w:tabs>
              <w:ind w:right="34"/>
              <w:rPr>
                <w:rFonts w:ascii="Arial" w:eastAsia="Calibri" w:hAnsi="Arial" w:cs="Arial"/>
                <w:bCs/>
                <w:iCs/>
                <w:color w:val="000000" w:themeColor="text1"/>
              </w:rPr>
            </w:pPr>
            <w:r w:rsidRPr="005B65D1">
              <w:rPr>
                <w:rFonts w:ascii="Arial" w:eastAsia="Calibri" w:hAnsi="Arial" w:cs="Arial"/>
                <w:bCs/>
                <w:iCs/>
                <w:color w:val="000000" w:themeColor="text1"/>
              </w:rPr>
              <w:t xml:space="preserve">The turnover of staff is </w:t>
            </w:r>
            <w:r w:rsidR="005B65D1" w:rsidRPr="005B65D1">
              <w:rPr>
                <w:rFonts w:ascii="Arial" w:eastAsia="Calibri" w:hAnsi="Arial" w:cs="Arial"/>
                <w:bCs/>
                <w:iCs/>
                <w:color w:val="000000" w:themeColor="text1"/>
              </w:rPr>
              <w:t>low,</w:t>
            </w:r>
            <w:r w:rsidRPr="005B65D1">
              <w:rPr>
                <w:rFonts w:ascii="Arial" w:eastAsia="Calibri" w:hAnsi="Arial" w:cs="Arial"/>
                <w:bCs/>
                <w:iCs/>
                <w:color w:val="000000" w:themeColor="text1"/>
              </w:rPr>
              <w:t xml:space="preserve"> and recruitment of additional staff is carried out in an efficient manner as to avoid disruption to teaching. The recruitment process is clearly defined and usually leads to a high level of competition amongst applicants. </w:t>
            </w:r>
          </w:p>
          <w:p w14:paraId="7AE3A4CB" w14:textId="77777777" w:rsidR="00656B3E" w:rsidRPr="005B65D1" w:rsidRDefault="00656B3E" w:rsidP="00A759EC">
            <w:pPr>
              <w:tabs>
                <w:tab w:val="left" w:pos="720"/>
                <w:tab w:val="left" w:pos="9214"/>
              </w:tabs>
              <w:ind w:right="34"/>
              <w:rPr>
                <w:rFonts w:ascii="Arial" w:eastAsia="Calibri" w:hAnsi="Arial" w:cs="Arial"/>
                <w:bCs/>
                <w:iCs/>
                <w:color w:val="000000" w:themeColor="text1"/>
              </w:rPr>
            </w:pPr>
          </w:p>
          <w:p w14:paraId="066F7125" w14:textId="58BD96CF" w:rsidR="00642ADD" w:rsidRPr="005B65D1" w:rsidRDefault="0071181C" w:rsidP="00A759EC">
            <w:pPr>
              <w:tabs>
                <w:tab w:val="left" w:pos="720"/>
                <w:tab w:val="left" w:pos="9214"/>
              </w:tabs>
              <w:ind w:right="34"/>
              <w:rPr>
                <w:rFonts w:ascii="Arial" w:eastAsia="Calibri" w:hAnsi="Arial" w:cs="Arial"/>
                <w:bCs/>
                <w:iCs/>
                <w:color w:val="000000" w:themeColor="text1"/>
              </w:rPr>
            </w:pPr>
            <w:r w:rsidRPr="005B65D1">
              <w:rPr>
                <w:rFonts w:ascii="Arial" w:eastAsia="Calibri" w:hAnsi="Arial" w:cs="Arial"/>
                <w:bCs/>
                <w:iCs/>
                <w:color w:val="000000" w:themeColor="text1"/>
              </w:rPr>
              <w:t xml:space="preserve">To mitigate the low numbers of available dental nurses supporting students on clinic, the school is liaising with other dental education providers to discuss dental nurse apprenticeship positions to help </w:t>
            </w:r>
            <w:r w:rsidR="00FB0A94">
              <w:rPr>
                <w:rFonts w:ascii="Arial" w:eastAsia="Calibri" w:hAnsi="Arial" w:cs="Arial"/>
                <w:bCs/>
                <w:iCs/>
                <w:color w:val="000000" w:themeColor="text1"/>
              </w:rPr>
              <w:t>mitigate this risk</w:t>
            </w:r>
            <w:r w:rsidRPr="005B65D1">
              <w:rPr>
                <w:rFonts w:ascii="Arial" w:eastAsia="Calibri" w:hAnsi="Arial" w:cs="Arial"/>
                <w:bCs/>
                <w:iCs/>
                <w:color w:val="000000" w:themeColor="text1"/>
              </w:rPr>
              <w:t xml:space="preserve">. The school has also introduced a </w:t>
            </w:r>
            <w:r w:rsidR="001B188C">
              <w:rPr>
                <w:rFonts w:ascii="Arial" w:eastAsia="Calibri" w:hAnsi="Arial" w:cs="Arial"/>
                <w:bCs/>
                <w:iCs/>
                <w:color w:val="000000" w:themeColor="text1"/>
              </w:rPr>
              <w:t xml:space="preserve">university employed </w:t>
            </w:r>
            <w:r w:rsidR="00C85E07" w:rsidRPr="005B65D1">
              <w:rPr>
                <w:rFonts w:ascii="Arial" w:eastAsia="Calibri" w:hAnsi="Arial" w:cs="Arial"/>
                <w:bCs/>
                <w:iCs/>
                <w:color w:val="000000" w:themeColor="text1"/>
              </w:rPr>
              <w:t xml:space="preserve">dental </w:t>
            </w:r>
            <w:r w:rsidRPr="005B65D1">
              <w:rPr>
                <w:rFonts w:ascii="Arial" w:eastAsia="Calibri" w:hAnsi="Arial" w:cs="Arial"/>
                <w:bCs/>
                <w:iCs/>
                <w:color w:val="000000" w:themeColor="text1"/>
              </w:rPr>
              <w:t xml:space="preserve">nursing </w:t>
            </w:r>
            <w:r w:rsidR="001B188C">
              <w:rPr>
                <w:rFonts w:ascii="Arial" w:eastAsia="Calibri" w:hAnsi="Arial" w:cs="Arial"/>
                <w:bCs/>
                <w:iCs/>
                <w:color w:val="000000" w:themeColor="text1"/>
              </w:rPr>
              <w:t>teaching</w:t>
            </w:r>
            <w:r w:rsidR="001B188C" w:rsidRPr="005B65D1">
              <w:rPr>
                <w:rFonts w:ascii="Arial" w:eastAsia="Calibri" w:hAnsi="Arial" w:cs="Arial"/>
                <w:bCs/>
                <w:iCs/>
                <w:color w:val="000000" w:themeColor="text1"/>
              </w:rPr>
              <w:t xml:space="preserve"> </w:t>
            </w:r>
            <w:r w:rsidRPr="005B65D1">
              <w:rPr>
                <w:rFonts w:ascii="Arial" w:eastAsia="Calibri" w:hAnsi="Arial" w:cs="Arial"/>
                <w:bCs/>
                <w:iCs/>
                <w:color w:val="000000" w:themeColor="text1"/>
              </w:rPr>
              <w:t xml:space="preserve">role to ensure that the level of skill is at the required standard. </w:t>
            </w:r>
            <w:r w:rsidR="000D060C" w:rsidRPr="005B65D1">
              <w:rPr>
                <w:rFonts w:ascii="Arial" w:eastAsia="Calibri" w:hAnsi="Arial" w:cs="Arial"/>
                <w:bCs/>
                <w:iCs/>
                <w:color w:val="000000" w:themeColor="text1"/>
              </w:rPr>
              <w:t>The school manages the number of staff nurses well and prioritises where the support is most needed. Ratios of staff are dependent on the procedure being carried out and the type of patient; paediatric dentistry</w:t>
            </w:r>
            <w:r w:rsidR="00B15B1B">
              <w:rPr>
                <w:rFonts w:ascii="Arial" w:eastAsia="Calibri" w:hAnsi="Arial" w:cs="Arial"/>
                <w:bCs/>
                <w:iCs/>
                <w:color w:val="000000" w:themeColor="text1"/>
              </w:rPr>
              <w:t>,</w:t>
            </w:r>
            <w:r w:rsidR="000D060C" w:rsidRPr="005B65D1">
              <w:rPr>
                <w:rFonts w:ascii="Arial" w:eastAsia="Calibri" w:hAnsi="Arial" w:cs="Arial"/>
                <w:bCs/>
                <w:iCs/>
                <w:color w:val="000000" w:themeColor="text1"/>
              </w:rPr>
              <w:t xml:space="preserve"> for example</w:t>
            </w:r>
            <w:r w:rsidR="00B15B1B">
              <w:rPr>
                <w:rFonts w:ascii="Arial" w:eastAsia="Calibri" w:hAnsi="Arial" w:cs="Arial"/>
                <w:bCs/>
                <w:iCs/>
                <w:color w:val="000000" w:themeColor="text1"/>
              </w:rPr>
              <w:t>,</w:t>
            </w:r>
            <w:r w:rsidR="000D060C" w:rsidRPr="005B65D1">
              <w:rPr>
                <w:rFonts w:ascii="Arial" w:eastAsia="Calibri" w:hAnsi="Arial" w:cs="Arial"/>
                <w:bCs/>
                <w:iCs/>
                <w:color w:val="000000" w:themeColor="text1"/>
              </w:rPr>
              <w:t xml:space="preserve"> will have a greater amount of support. </w:t>
            </w:r>
          </w:p>
          <w:p w14:paraId="0FA4AE6A" w14:textId="05853240" w:rsidR="00E2148E" w:rsidRPr="00044A9E" w:rsidRDefault="00E2148E" w:rsidP="00A759EC">
            <w:pPr>
              <w:tabs>
                <w:tab w:val="left" w:pos="720"/>
                <w:tab w:val="left" w:pos="9214"/>
              </w:tabs>
              <w:ind w:right="34"/>
              <w:rPr>
                <w:rFonts w:ascii="Arial" w:eastAsia="Calibri" w:hAnsi="Arial" w:cs="Arial"/>
                <w:color w:val="000000" w:themeColor="text1"/>
              </w:rPr>
            </w:pPr>
          </w:p>
          <w:p w14:paraId="64EAAC62" w14:textId="6981DB8A" w:rsidR="00E2148E" w:rsidRPr="00044A9E" w:rsidRDefault="00E2148E" w:rsidP="00A759EC">
            <w:pPr>
              <w:tabs>
                <w:tab w:val="left" w:pos="720"/>
                <w:tab w:val="left" w:pos="9214"/>
              </w:tabs>
              <w:rPr>
                <w:rFonts w:ascii="Arial" w:eastAsia="Calibri" w:hAnsi="Arial" w:cs="Arial"/>
                <w:b/>
                <w:color w:val="000000" w:themeColor="text1"/>
              </w:rPr>
            </w:pPr>
            <w:r w:rsidRPr="00044A9E">
              <w:rPr>
                <w:rFonts w:ascii="Arial" w:eastAsia="Calibri" w:hAnsi="Arial" w:cs="Arial"/>
                <w:b/>
                <w:color w:val="000000" w:themeColor="text1"/>
              </w:rPr>
              <w:t xml:space="preserve">Requirement 5: Supervisors must be appropriately qualified and trained. This should include training in equality and diversity legislation relevant for the role. Clinical supervisors must have appropriate general or specialist registration with a UK regulatory </w:t>
            </w:r>
            <w:r w:rsidRPr="0071181C">
              <w:rPr>
                <w:rFonts w:ascii="Arial" w:eastAsia="Calibri" w:hAnsi="Arial" w:cs="Arial"/>
                <w:b/>
                <w:color w:val="000000" w:themeColor="text1"/>
              </w:rPr>
              <w:t xml:space="preserve">body. </w:t>
            </w:r>
            <w:r w:rsidRPr="0071181C">
              <w:rPr>
                <w:rFonts w:ascii="Arial" w:eastAsia="Calibri" w:hAnsi="Arial" w:cs="Arial"/>
                <w:b/>
                <w:i/>
                <w:color w:val="000000" w:themeColor="text1"/>
              </w:rPr>
              <w:t xml:space="preserve">(Requirement </w:t>
            </w:r>
            <w:r w:rsidR="00527931" w:rsidRPr="0071181C">
              <w:rPr>
                <w:rFonts w:ascii="Arial" w:eastAsia="Calibri" w:hAnsi="Arial" w:cs="Arial"/>
                <w:b/>
                <w:i/>
                <w:color w:val="000000" w:themeColor="text1"/>
              </w:rPr>
              <w:t>Met</w:t>
            </w:r>
            <w:r w:rsidRPr="0071181C">
              <w:rPr>
                <w:rFonts w:ascii="Arial" w:eastAsia="Calibri" w:hAnsi="Arial" w:cs="Arial"/>
                <w:b/>
                <w:i/>
                <w:color w:val="000000" w:themeColor="text1"/>
              </w:rPr>
              <w:t>)</w:t>
            </w:r>
          </w:p>
          <w:p w14:paraId="19E4280F" w14:textId="43ACB3F6" w:rsidR="00E2148E" w:rsidRDefault="00E2148E" w:rsidP="00A759EC">
            <w:pPr>
              <w:tabs>
                <w:tab w:val="left" w:pos="720"/>
                <w:tab w:val="left" w:pos="9214"/>
                <w:tab w:val="left" w:pos="9248"/>
              </w:tabs>
              <w:ind w:right="34"/>
              <w:jc w:val="both"/>
              <w:rPr>
                <w:rFonts w:ascii="Arial" w:eastAsia="Calibri" w:hAnsi="Arial" w:cs="Arial"/>
                <w:color w:val="000000" w:themeColor="text1"/>
              </w:rPr>
            </w:pPr>
          </w:p>
          <w:p w14:paraId="46A1563D" w14:textId="48A0C69E" w:rsidR="00593670" w:rsidRPr="001B74AC" w:rsidRDefault="0071181C" w:rsidP="00AE3904">
            <w:pPr>
              <w:tabs>
                <w:tab w:val="left" w:pos="720"/>
                <w:tab w:val="left" w:pos="9214"/>
                <w:tab w:val="left" w:pos="9248"/>
              </w:tabs>
              <w:ind w:right="34"/>
              <w:rPr>
                <w:rFonts w:ascii="Arial" w:eastAsia="Calibri" w:hAnsi="Arial" w:cs="Arial"/>
                <w:color w:val="000000" w:themeColor="text1"/>
              </w:rPr>
            </w:pPr>
            <w:r w:rsidRPr="001B74AC">
              <w:rPr>
                <w:rFonts w:ascii="Arial" w:eastAsia="Calibri" w:hAnsi="Arial" w:cs="Arial"/>
                <w:color w:val="000000" w:themeColor="text1"/>
              </w:rPr>
              <w:t>The panel w</w:t>
            </w:r>
            <w:r w:rsidR="00F8031A" w:rsidRPr="001B74AC">
              <w:rPr>
                <w:rFonts w:ascii="Arial" w:eastAsia="Calibri" w:hAnsi="Arial" w:cs="Arial"/>
                <w:color w:val="000000" w:themeColor="text1"/>
              </w:rPr>
              <w:t>as</w:t>
            </w:r>
            <w:r w:rsidRPr="001B74AC">
              <w:rPr>
                <w:rFonts w:ascii="Arial" w:eastAsia="Calibri" w:hAnsi="Arial" w:cs="Arial"/>
                <w:color w:val="000000" w:themeColor="text1"/>
              </w:rPr>
              <w:t xml:space="preserve"> provided with all staff logs detailing the qualifications and CPD that had been undertaken</w:t>
            </w:r>
            <w:r w:rsidR="003C2C16" w:rsidRPr="001B74AC">
              <w:rPr>
                <w:rFonts w:ascii="Arial" w:eastAsia="Calibri" w:hAnsi="Arial" w:cs="Arial"/>
                <w:color w:val="000000" w:themeColor="text1"/>
              </w:rPr>
              <w:t xml:space="preserve"> - a</w:t>
            </w:r>
            <w:r w:rsidRPr="001B74AC">
              <w:rPr>
                <w:rFonts w:ascii="Arial" w:eastAsia="Calibri" w:hAnsi="Arial" w:cs="Arial"/>
                <w:color w:val="000000" w:themeColor="text1"/>
              </w:rPr>
              <w:t>ll supervisors were appropriately qualified to oversee teaching within a clinical setting. The induction process for all staff cover</w:t>
            </w:r>
            <w:r w:rsidR="000D060C" w:rsidRPr="001B74AC">
              <w:rPr>
                <w:rFonts w:ascii="Arial" w:eastAsia="Calibri" w:hAnsi="Arial" w:cs="Arial"/>
                <w:color w:val="000000" w:themeColor="text1"/>
              </w:rPr>
              <w:t>s</w:t>
            </w:r>
            <w:r w:rsidRPr="001B74AC">
              <w:rPr>
                <w:rFonts w:ascii="Arial" w:eastAsia="Calibri" w:hAnsi="Arial" w:cs="Arial"/>
                <w:color w:val="000000" w:themeColor="text1"/>
              </w:rPr>
              <w:t xml:space="preserve"> equality and diversity in </w:t>
            </w:r>
            <w:r w:rsidR="00F8031A" w:rsidRPr="001B74AC">
              <w:rPr>
                <w:rFonts w:ascii="Arial" w:eastAsia="Calibri" w:hAnsi="Arial" w:cs="Arial"/>
                <w:color w:val="000000" w:themeColor="text1"/>
              </w:rPr>
              <w:t>detail,</w:t>
            </w:r>
            <w:r w:rsidRPr="001B74AC">
              <w:rPr>
                <w:rFonts w:ascii="Arial" w:eastAsia="Calibri" w:hAnsi="Arial" w:cs="Arial"/>
                <w:color w:val="000000" w:themeColor="text1"/>
              </w:rPr>
              <w:t xml:space="preserve"> demonstrating the importance the school places on this area of learning and teaching. </w:t>
            </w:r>
          </w:p>
          <w:p w14:paraId="70F9DCE5" w14:textId="77777777" w:rsidR="00593670" w:rsidRPr="001B74AC" w:rsidRDefault="00593670" w:rsidP="00AE3904">
            <w:pPr>
              <w:tabs>
                <w:tab w:val="left" w:pos="720"/>
                <w:tab w:val="left" w:pos="9214"/>
                <w:tab w:val="left" w:pos="9248"/>
              </w:tabs>
              <w:ind w:right="34"/>
              <w:rPr>
                <w:rFonts w:ascii="Arial" w:eastAsia="Calibri" w:hAnsi="Arial" w:cs="Arial"/>
                <w:color w:val="000000" w:themeColor="text1"/>
              </w:rPr>
            </w:pPr>
          </w:p>
          <w:p w14:paraId="6A3EF431" w14:textId="1235592A" w:rsidR="00F64160" w:rsidRPr="001B74AC" w:rsidRDefault="00593670" w:rsidP="00AE3904">
            <w:pPr>
              <w:tabs>
                <w:tab w:val="left" w:pos="720"/>
                <w:tab w:val="left" w:pos="9214"/>
                <w:tab w:val="left" w:pos="9248"/>
              </w:tabs>
              <w:ind w:right="34"/>
              <w:rPr>
                <w:rFonts w:ascii="Arial" w:eastAsia="Calibri" w:hAnsi="Arial" w:cs="Arial"/>
                <w:color w:val="000000" w:themeColor="text1"/>
              </w:rPr>
            </w:pPr>
            <w:r w:rsidRPr="001B74AC">
              <w:rPr>
                <w:rFonts w:ascii="Arial" w:eastAsia="Calibri" w:hAnsi="Arial" w:cs="Arial"/>
                <w:color w:val="000000" w:themeColor="text1"/>
              </w:rPr>
              <w:t xml:space="preserve">The panel </w:t>
            </w:r>
            <w:r w:rsidR="00A05611" w:rsidRPr="001B74AC">
              <w:rPr>
                <w:rFonts w:ascii="Arial" w:eastAsia="Calibri" w:hAnsi="Arial" w:cs="Arial"/>
                <w:color w:val="000000" w:themeColor="text1"/>
              </w:rPr>
              <w:t>was</w:t>
            </w:r>
            <w:r w:rsidRPr="001B74AC">
              <w:rPr>
                <w:rFonts w:ascii="Arial" w:eastAsia="Calibri" w:hAnsi="Arial" w:cs="Arial"/>
                <w:color w:val="000000" w:themeColor="text1"/>
              </w:rPr>
              <w:t xml:space="preserve"> satisfied that the induction process given to staff prepared them effectively for supporting students. All staff undergo an onboarding process into their new department and are given the opportunity to shadow a current teacher on clinic and </w:t>
            </w:r>
            <w:r w:rsidR="00C536C2">
              <w:rPr>
                <w:rFonts w:ascii="Arial" w:eastAsia="Calibri" w:hAnsi="Arial" w:cs="Arial"/>
                <w:color w:val="000000" w:themeColor="text1"/>
              </w:rPr>
              <w:t xml:space="preserve">where appropriate </w:t>
            </w:r>
            <w:r w:rsidRPr="001B74AC">
              <w:rPr>
                <w:rFonts w:ascii="Arial" w:eastAsia="Calibri" w:hAnsi="Arial" w:cs="Arial"/>
                <w:color w:val="000000" w:themeColor="text1"/>
              </w:rPr>
              <w:t xml:space="preserve">visit the simulation lab. Mandatory training is in place and an away day is scheduled for each academic year to further discuss </w:t>
            </w:r>
            <w:r w:rsidR="003C2C16" w:rsidRPr="001B74AC">
              <w:rPr>
                <w:rFonts w:ascii="Arial" w:eastAsia="Calibri" w:hAnsi="Arial" w:cs="Arial"/>
                <w:color w:val="000000" w:themeColor="text1"/>
              </w:rPr>
              <w:t xml:space="preserve">positive </w:t>
            </w:r>
            <w:r w:rsidRPr="001B74AC">
              <w:rPr>
                <w:rFonts w:ascii="Arial" w:eastAsia="Calibri" w:hAnsi="Arial" w:cs="Arial"/>
                <w:color w:val="000000" w:themeColor="text1"/>
              </w:rPr>
              <w:t xml:space="preserve">practices in place and areas for development. </w:t>
            </w:r>
            <w:r w:rsidR="00F64160" w:rsidRPr="001B74AC">
              <w:rPr>
                <w:rFonts w:ascii="Arial" w:eastAsia="Calibri" w:hAnsi="Arial" w:cs="Arial"/>
                <w:color w:val="000000" w:themeColor="text1"/>
              </w:rPr>
              <w:t>All external staff are expected to attend relevant training</w:t>
            </w:r>
            <w:r w:rsidR="0077460B" w:rsidRPr="001B74AC">
              <w:rPr>
                <w:rFonts w:ascii="Arial" w:eastAsia="Calibri" w:hAnsi="Arial" w:cs="Arial"/>
                <w:color w:val="000000" w:themeColor="text1"/>
              </w:rPr>
              <w:t xml:space="preserve"> sessions</w:t>
            </w:r>
            <w:r w:rsidR="00F64160" w:rsidRPr="001B74AC">
              <w:rPr>
                <w:rFonts w:ascii="Arial" w:eastAsia="Calibri" w:hAnsi="Arial" w:cs="Arial"/>
                <w:color w:val="000000" w:themeColor="text1"/>
              </w:rPr>
              <w:t xml:space="preserve"> and the school works closely with placements to ensure that supervising staff have the relevant knowledge or alerts pertinent to their role in overseeing the students when treating patients. </w:t>
            </w:r>
          </w:p>
          <w:p w14:paraId="04AE47B2" w14:textId="77777777" w:rsidR="000D060C" w:rsidRDefault="000D060C" w:rsidP="00A759EC">
            <w:pPr>
              <w:tabs>
                <w:tab w:val="left" w:pos="720"/>
                <w:tab w:val="left" w:pos="9214"/>
                <w:tab w:val="left" w:pos="9248"/>
              </w:tabs>
              <w:ind w:right="34"/>
              <w:jc w:val="both"/>
              <w:rPr>
                <w:rFonts w:ascii="Arial" w:eastAsia="Calibri" w:hAnsi="Arial" w:cs="Arial"/>
                <w:i/>
                <w:iCs/>
                <w:color w:val="000000" w:themeColor="text1"/>
              </w:rPr>
            </w:pPr>
          </w:p>
          <w:p w14:paraId="2114936D" w14:textId="0453E319" w:rsidR="000D060C" w:rsidRPr="008E7FC2" w:rsidRDefault="000D060C" w:rsidP="00600B86">
            <w:pPr>
              <w:tabs>
                <w:tab w:val="left" w:pos="720"/>
                <w:tab w:val="left" w:pos="9214"/>
                <w:tab w:val="left" w:pos="9248"/>
              </w:tabs>
              <w:ind w:right="34"/>
              <w:rPr>
                <w:rFonts w:ascii="Arial" w:eastAsia="Calibri" w:hAnsi="Arial" w:cs="Arial"/>
                <w:color w:val="000000" w:themeColor="text1"/>
              </w:rPr>
            </w:pPr>
            <w:r w:rsidRPr="008E7FC2">
              <w:rPr>
                <w:rFonts w:ascii="Arial" w:eastAsia="Calibri" w:hAnsi="Arial" w:cs="Arial"/>
                <w:color w:val="000000" w:themeColor="text1"/>
              </w:rPr>
              <w:lastRenderedPageBreak/>
              <w:t xml:space="preserve">Evidence was presented which showed that a teacher calibration day takes place every </w:t>
            </w:r>
            <w:r w:rsidR="000F0CDB">
              <w:rPr>
                <w:rFonts w:ascii="Arial" w:eastAsia="Calibri" w:hAnsi="Arial" w:cs="Arial"/>
                <w:color w:val="000000" w:themeColor="text1"/>
              </w:rPr>
              <w:t>at least annually</w:t>
            </w:r>
            <w:r w:rsidR="000F0CDB" w:rsidRPr="008E7FC2">
              <w:rPr>
                <w:rFonts w:ascii="Arial" w:eastAsia="Calibri" w:hAnsi="Arial" w:cs="Arial"/>
                <w:color w:val="000000" w:themeColor="text1"/>
              </w:rPr>
              <w:t xml:space="preserve"> </w:t>
            </w:r>
            <w:r w:rsidRPr="008E7FC2">
              <w:rPr>
                <w:rFonts w:ascii="Arial" w:eastAsia="Calibri" w:hAnsi="Arial" w:cs="Arial"/>
                <w:color w:val="000000" w:themeColor="text1"/>
              </w:rPr>
              <w:t xml:space="preserve">and an away day, to discuss and review updates, takes place every July. </w:t>
            </w:r>
            <w:r w:rsidR="001B74AC" w:rsidRPr="008E7FC2">
              <w:rPr>
                <w:rFonts w:ascii="Arial" w:eastAsia="Calibri" w:hAnsi="Arial" w:cs="Arial"/>
                <w:color w:val="000000" w:themeColor="text1"/>
              </w:rPr>
              <w:t>NHS Trust representatives</w:t>
            </w:r>
            <w:r w:rsidRPr="008E7FC2">
              <w:rPr>
                <w:rFonts w:ascii="Arial" w:eastAsia="Calibri" w:hAnsi="Arial" w:cs="Arial"/>
                <w:color w:val="000000" w:themeColor="text1"/>
              </w:rPr>
              <w:t xml:space="preserve"> are also on the panels for all appointments to ensure the process is robust. The panel w</w:t>
            </w:r>
            <w:r w:rsidR="001B74AC" w:rsidRPr="008E7FC2">
              <w:rPr>
                <w:rFonts w:ascii="Arial" w:eastAsia="Calibri" w:hAnsi="Arial" w:cs="Arial"/>
                <w:color w:val="000000" w:themeColor="text1"/>
              </w:rPr>
              <w:t>as</w:t>
            </w:r>
            <w:r w:rsidRPr="008E7FC2">
              <w:rPr>
                <w:rFonts w:ascii="Arial" w:eastAsia="Calibri" w:hAnsi="Arial" w:cs="Arial"/>
                <w:color w:val="000000" w:themeColor="text1"/>
              </w:rPr>
              <w:t xml:space="preserve"> happy that this requirement has been met. </w:t>
            </w:r>
          </w:p>
          <w:p w14:paraId="136B3F26" w14:textId="77777777" w:rsidR="0071181C" w:rsidRPr="00044A9E" w:rsidRDefault="0071181C" w:rsidP="00A759EC">
            <w:pPr>
              <w:tabs>
                <w:tab w:val="left" w:pos="720"/>
                <w:tab w:val="left" w:pos="9214"/>
                <w:tab w:val="left" w:pos="9248"/>
              </w:tabs>
              <w:ind w:right="34"/>
              <w:jc w:val="both"/>
              <w:rPr>
                <w:rFonts w:ascii="Arial" w:eastAsia="Calibri" w:hAnsi="Arial" w:cs="Arial"/>
                <w:color w:val="000000" w:themeColor="text1"/>
              </w:rPr>
            </w:pPr>
          </w:p>
          <w:p w14:paraId="49435915" w14:textId="16A6CFCA" w:rsidR="00E2148E" w:rsidRPr="00044A9E" w:rsidRDefault="00E2148E" w:rsidP="00A759EC">
            <w:pPr>
              <w:tabs>
                <w:tab w:val="left" w:pos="720"/>
                <w:tab w:val="left" w:pos="9214"/>
              </w:tabs>
              <w:ind w:right="34"/>
              <w:rPr>
                <w:rFonts w:ascii="Arial" w:eastAsia="Calibri" w:hAnsi="Arial" w:cs="Arial"/>
                <w:b/>
                <w:color w:val="000000" w:themeColor="text1"/>
              </w:rPr>
            </w:pPr>
            <w:r w:rsidRPr="00044A9E">
              <w:rPr>
                <w:rFonts w:ascii="Arial" w:eastAsia="Calibri" w:hAnsi="Arial" w:cs="Arial"/>
                <w:b/>
                <w:color w:val="000000" w:themeColor="text1"/>
              </w:rPr>
              <w:t>Requirement 6: Providers must ensure that students and all those involved in the delivery of education and training are aware of their obligation to raise concerns if they identify any risks to patient safety and the need for candour when things go wrong. Providers should publish policies so that it is clear to all parties how concerns should be raised and how these concerns will be acted upon. Providers must support those who do raise concerns and provide assurance that staff and students will not be penalised for doing so</w:t>
            </w:r>
            <w:r w:rsidRPr="00BF168A">
              <w:rPr>
                <w:rFonts w:ascii="Arial" w:eastAsia="Calibri" w:hAnsi="Arial" w:cs="Arial"/>
                <w:b/>
                <w:color w:val="000000" w:themeColor="text1"/>
              </w:rPr>
              <w:t xml:space="preserve">. </w:t>
            </w:r>
            <w:r w:rsidRPr="00BF168A">
              <w:rPr>
                <w:rFonts w:ascii="Arial" w:eastAsia="Calibri" w:hAnsi="Arial" w:cs="Arial"/>
                <w:b/>
                <w:i/>
                <w:color w:val="000000" w:themeColor="text1"/>
              </w:rPr>
              <w:t xml:space="preserve">(Requirement </w:t>
            </w:r>
            <w:r w:rsidR="00527931" w:rsidRPr="00BF168A">
              <w:rPr>
                <w:rFonts w:ascii="Arial" w:eastAsia="Calibri" w:hAnsi="Arial" w:cs="Arial"/>
                <w:b/>
                <w:i/>
                <w:color w:val="000000" w:themeColor="text1"/>
              </w:rPr>
              <w:t>Met</w:t>
            </w:r>
            <w:r w:rsidR="00875239" w:rsidRPr="00BF168A">
              <w:rPr>
                <w:rFonts w:ascii="Arial" w:eastAsia="Calibri" w:hAnsi="Arial" w:cs="Arial"/>
                <w:b/>
                <w:i/>
                <w:color w:val="000000" w:themeColor="text1"/>
              </w:rPr>
              <w:t>)</w:t>
            </w:r>
          </w:p>
          <w:p w14:paraId="37BD5C7C" w14:textId="18CD3725" w:rsidR="00E2148E" w:rsidRDefault="00E2148E" w:rsidP="00A759EC">
            <w:pPr>
              <w:tabs>
                <w:tab w:val="left" w:pos="720"/>
                <w:tab w:val="left" w:pos="9214"/>
              </w:tabs>
              <w:ind w:right="2789"/>
              <w:rPr>
                <w:rFonts w:ascii="Arial" w:eastAsia="Calibri" w:hAnsi="Arial" w:cs="Arial"/>
                <w:color w:val="000000" w:themeColor="text1"/>
              </w:rPr>
            </w:pPr>
          </w:p>
          <w:p w14:paraId="27D3A60B" w14:textId="29086EC2" w:rsidR="00572C24" w:rsidRPr="009A07B5" w:rsidRDefault="000C1FBE" w:rsidP="00572C24">
            <w:pPr>
              <w:tabs>
                <w:tab w:val="left" w:pos="720"/>
                <w:tab w:val="left" w:pos="9214"/>
              </w:tabs>
              <w:rPr>
                <w:rFonts w:ascii="Arial" w:eastAsia="Calibri" w:hAnsi="Arial" w:cs="Arial"/>
                <w:color w:val="000000" w:themeColor="text1"/>
              </w:rPr>
            </w:pPr>
            <w:r w:rsidRPr="009A07B5">
              <w:rPr>
                <w:rFonts w:ascii="Arial" w:eastAsia="Calibri" w:hAnsi="Arial" w:cs="Arial"/>
                <w:color w:val="000000" w:themeColor="text1"/>
              </w:rPr>
              <w:t>During the inspection t</w:t>
            </w:r>
            <w:r w:rsidR="006F0226" w:rsidRPr="009A07B5">
              <w:rPr>
                <w:rFonts w:ascii="Arial" w:eastAsia="Calibri" w:hAnsi="Arial" w:cs="Arial"/>
                <w:color w:val="000000" w:themeColor="text1"/>
              </w:rPr>
              <w:t xml:space="preserve">he panel </w:t>
            </w:r>
            <w:r w:rsidRPr="009A07B5">
              <w:rPr>
                <w:rFonts w:ascii="Arial" w:eastAsia="Calibri" w:hAnsi="Arial" w:cs="Arial"/>
                <w:color w:val="000000" w:themeColor="text1"/>
              </w:rPr>
              <w:t xml:space="preserve">met with a range of student groups and </w:t>
            </w:r>
            <w:r w:rsidR="006F0226" w:rsidRPr="009A07B5">
              <w:rPr>
                <w:rFonts w:ascii="Arial" w:eastAsia="Calibri" w:hAnsi="Arial" w:cs="Arial"/>
                <w:color w:val="000000" w:themeColor="text1"/>
              </w:rPr>
              <w:t xml:space="preserve">observed good responses </w:t>
            </w:r>
            <w:r w:rsidR="00095D74" w:rsidRPr="009A07B5">
              <w:rPr>
                <w:rFonts w:ascii="Arial" w:eastAsia="Calibri" w:hAnsi="Arial" w:cs="Arial"/>
                <w:color w:val="000000" w:themeColor="text1"/>
              </w:rPr>
              <w:t>demonstrating their understanding of</w:t>
            </w:r>
            <w:r w:rsidR="006F0226" w:rsidRPr="009A07B5">
              <w:rPr>
                <w:rFonts w:ascii="Arial" w:eastAsia="Calibri" w:hAnsi="Arial" w:cs="Arial"/>
                <w:color w:val="000000" w:themeColor="text1"/>
              </w:rPr>
              <w:t xml:space="preserve"> the importance of raising</w:t>
            </w:r>
            <w:r w:rsidR="00095D74" w:rsidRPr="009A07B5">
              <w:rPr>
                <w:rFonts w:ascii="Arial" w:eastAsia="Calibri" w:hAnsi="Arial" w:cs="Arial"/>
                <w:color w:val="000000" w:themeColor="text1"/>
              </w:rPr>
              <w:t xml:space="preserve"> concerns</w:t>
            </w:r>
            <w:r w:rsidR="006F0226" w:rsidRPr="009A07B5">
              <w:rPr>
                <w:rFonts w:ascii="Arial" w:eastAsia="Calibri" w:hAnsi="Arial" w:cs="Arial"/>
                <w:color w:val="000000" w:themeColor="text1"/>
              </w:rPr>
              <w:t xml:space="preserve"> regarding patient safety and the process for doing this.</w:t>
            </w:r>
            <w:r w:rsidR="00C85E07" w:rsidRPr="009A07B5">
              <w:rPr>
                <w:rFonts w:ascii="Arial" w:eastAsia="Calibri" w:hAnsi="Arial" w:cs="Arial"/>
                <w:color w:val="000000" w:themeColor="text1"/>
              </w:rPr>
              <w:t xml:space="preserve"> Students expressed they felt comfortable raising a concern and that it would be acted upon by the school. </w:t>
            </w:r>
            <w:r w:rsidR="00572C24" w:rsidRPr="009A07B5">
              <w:rPr>
                <w:rFonts w:ascii="Arial" w:eastAsia="Calibri" w:hAnsi="Arial" w:cs="Arial"/>
                <w:color w:val="000000" w:themeColor="text1"/>
              </w:rPr>
              <w:t xml:space="preserve">Students expressed that they were able to inform their Academic Advisor if </w:t>
            </w:r>
            <w:r w:rsidR="00EF10EE">
              <w:rPr>
                <w:rFonts w:ascii="Arial" w:eastAsia="Calibri" w:hAnsi="Arial" w:cs="Arial"/>
                <w:color w:val="000000" w:themeColor="text1"/>
              </w:rPr>
              <w:t>they had any concerns</w:t>
            </w:r>
            <w:r w:rsidR="00572C24" w:rsidRPr="009A07B5">
              <w:rPr>
                <w:rFonts w:ascii="Arial" w:eastAsia="Calibri" w:hAnsi="Arial" w:cs="Arial"/>
                <w:color w:val="000000" w:themeColor="text1"/>
              </w:rPr>
              <w:t xml:space="preserve"> and this is then escalated to the relevant member of staff. The school actively teaches students how to raise concerns and that all concerns are kept strictly confidential with well-being support offered as a follow up. </w:t>
            </w:r>
          </w:p>
          <w:p w14:paraId="588CACF2" w14:textId="77777777" w:rsidR="00572C24" w:rsidRPr="009A07B5" w:rsidRDefault="00572C24" w:rsidP="006F0226">
            <w:pPr>
              <w:tabs>
                <w:tab w:val="left" w:pos="720"/>
                <w:tab w:val="left" w:pos="9214"/>
              </w:tabs>
              <w:rPr>
                <w:rFonts w:ascii="Arial" w:eastAsia="Calibri" w:hAnsi="Arial" w:cs="Arial"/>
                <w:color w:val="000000" w:themeColor="text1"/>
              </w:rPr>
            </w:pPr>
          </w:p>
          <w:p w14:paraId="2500D7AA" w14:textId="1CD0BBEE" w:rsidR="00BF168A" w:rsidRPr="009A07B5" w:rsidRDefault="00C85E07" w:rsidP="006F0226">
            <w:pPr>
              <w:tabs>
                <w:tab w:val="left" w:pos="720"/>
                <w:tab w:val="left" w:pos="9214"/>
              </w:tabs>
              <w:rPr>
                <w:rFonts w:ascii="Arial" w:eastAsia="Calibri" w:hAnsi="Arial" w:cs="Arial"/>
                <w:color w:val="000000" w:themeColor="text1"/>
              </w:rPr>
            </w:pPr>
            <w:r w:rsidRPr="009A07B5">
              <w:rPr>
                <w:rFonts w:ascii="Arial" w:eastAsia="Calibri" w:hAnsi="Arial" w:cs="Arial"/>
                <w:color w:val="000000" w:themeColor="text1"/>
              </w:rPr>
              <w:t xml:space="preserve">The school has </w:t>
            </w:r>
            <w:r w:rsidR="000244B6" w:rsidRPr="009A07B5">
              <w:rPr>
                <w:rFonts w:ascii="Arial" w:eastAsia="Calibri" w:hAnsi="Arial" w:cs="Arial"/>
                <w:color w:val="000000" w:themeColor="text1"/>
              </w:rPr>
              <w:t>methods</w:t>
            </w:r>
            <w:r w:rsidRPr="009A07B5">
              <w:rPr>
                <w:rFonts w:ascii="Arial" w:eastAsia="Calibri" w:hAnsi="Arial" w:cs="Arial"/>
                <w:color w:val="000000" w:themeColor="text1"/>
              </w:rPr>
              <w:t xml:space="preserve"> in place such as the HALT system and the DATIX form which ensure that all details are recorded correctly and appropriately enabling the school to deal with the incident in a timely manner. The panel w</w:t>
            </w:r>
            <w:r w:rsidR="00127BE3" w:rsidRPr="009A07B5">
              <w:rPr>
                <w:rFonts w:ascii="Arial" w:eastAsia="Calibri" w:hAnsi="Arial" w:cs="Arial"/>
                <w:color w:val="000000" w:themeColor="text1"/>
              </w:rPr>
              <w:t>as</w:t>
            </w:r>
            <w:r w:rsidRPr="009A07B5">
              <w:rPr>
                <w:rFonts w:ascii="Arial" w:eastAsia="Calibri" w:hAnsi="Arial" w:cs="Arial"/>
                <w:color w:val="000000" w:themeColor="text1"/>
              </w:rPr>
              <w:t xml:space="preserve"> satisfied that procedures are in place to address and report patient safety concerns and these are shared with all staff and students. When on clinic, students </w:t>
            </w:r>
            <w:r w:rsidR="000D060C" w:rsidRPr="009A07B5">
              <w:rPr>
                <w:rFonts w:ascii="Arial" w:eastAsia="Calibri" w:hAnsi="Arial" w:cs="Arial"/>
                <w:color w:val="000000" w:themeColor="text1"/>
              </w:rPr>
              <w:t>have a designated member of</w:t>
            </w:r>
            <w:r w:rsidRPr="009A07B5">
              <w:rPr>
                <w:rFonts w:ascii="Arial" w:eastAsia="Calibri" w:hAnsi="Arial" w:cs="Arial"/>
                <w:color w:val="000000" w:themeColor="text1"/>
              </w:rPr>
              <w:t xml:space="preserve"> staff to report any concerns to and there is an open culture within the dental school where staff and students feel safe to raise these concerns without </w:t>
            </w:r>
            <w:r w:rsidR="00BC173F" w:rsidRPr="009A07B5">
              <w:rPr>
                <w:rFonts w:ascii="Arial" w:eastAsia="Calibri" w:hAnsi="Arial" w:cs="Arial"/>
                <w:color w:val="000000" w:themeColor="text1"/>
              </w:rPr>
              <w:t>fear of reprisal.</w:t>
            </w:r>
            <w:r w:rsidRPr="009A07B5">
              <w:rPr>
                <w:rFonts w:ascii="Arial" w:eastAsia="Calibri" w:hAnsi="Arial" w:cs="Arial"/>
                <w:color w:val="000000" w:themeColor="text1"/>
              </w:rPr>
              <w:t xml:space="preserve"> </w:t>
            </w:r>
            <w:r w:rsidR="006F0226" w:rsidRPr="009A07B5">
              <w:rPr>
                <w:rFonts w:ascii="Arial" w:eastAsia="Calibri" w:hAnsi="Arial" w:cs="Arial"/>
                <w:color w:val="000000" w:themeColor="text1"/>
              </w:rPr>
              <w:t>There was evidence that triangulation of information was in place</w:t>
            </w:r>
            <w:r w:rsidR="000D060C" w:rsidRPr="009A07B5">
              <w:rPr>
                <w:rFonts w:ascii="Arial" w:eastAsia="Calibri" w:hAnsi="Arial" w:cs="Arial"/>
                <w:color w:val="000000" w:themeColor="text1"/>
              </w:rPr>
              <w:t>,</w:t>
            </w:r>
            <w:r w:rsidR="006F0226" w:rsidRPr="009A07B5">
              <w:rPr>
                <w:rFonts w:ascii="Arial" w:eastAsia="Calibri" w:hAnsi="Arial" w:cs="Arial"/>
                <w:color w:val="000000" w:themeColor="text1"/>
              </w:rPr>
              <w:t xml:space="preserve"> and both students and staff were clear on their duty </w:t>
            </w:r>
            <w:r w:rsidRPr="009A07B5">
              <w:rPr>
                <w:rFonts w:ascii="Arial" w:eastAsia="Calibri" w:hAnsi="Arial" w:cs="Arial"/>
                <w:color w:val="000000" w:themeColor="text1"/>
              </w:rPr>
              <w:t xml:space="preserve">of care </w:t>
            </w:r>
            <w:r w:rsidR="006F0226" w:rsidRPr="009A07B5">
              <w:rPr>
                <w:rFonts w:ascii="Arial" w:eastAsia="Calibri" w:hAnsi="Arial" w:cs="Arial"/>
                <w:color w:val="000000" w:themeColor="text1"/>
              </w:rPr>
              <w:t xml:space="preserve">regarding patient safety. </w:t>
            </w:r>
          </w:p>
          <w:p w14:paraId="5BF40997" w14:textId="77777777" w:rsidR="00C85E07" w:rsidRPr="009A07B5" w:rsidRDefault="00C85E07" w:rsidP="006F0226">
            <w:pPr>
              <w:tabs>
                <w:tab w:val="left" w:pos="720"/>
                <w:tab w:val="left" w:pos="9214"/>
              </w:tabs>
              <w:rPr>
                <w:rFonts w:ascii="Arial" w:eastAsia="Calibri" w:hAnsi="Arial" w:cs="Arial"/>
                <w:color w:val="000000" w:themeColor="text1"/>
              </w:rPr>
            </w:pPr>
          </w:p>
          <w:p w14:paraId="0BDD3FAE" w14:textId="1061FD7F" w:rsidR="00C85E07" w:rsidRPr="009A07B5" w:rsidRDefault="00C85E07" w:rsidP="00C85E07">
            <w:pPr>
              <w:tabs>
                <w:tab w:val="left" w:pos="720"/>
                <w:tab w:val="left" w:pos="9214"/>
              </w:tabs>
              <w:rPr>
                <w:rFonts w:ascii="Arial" w:eastAsia="Calibri" w:hAnsi="Arial" w:cs="Arial"/>
                <w:color w:val="000000" w:themeColor="text1"/>
              </w:rPr>
            </w:pPr>
            <w:r w:rsidRPr="009A07B5">
              <w:rPr>
                <w:rFonts w:ascii="Arial" w:eastAsia="Calibri" w:hAnsi="Arial" w:cs="Arial"/>
                <w:color w:val="000000" w:themeColor="text1"/>
              </w:rPr>
              <w:t xml:space="preserve">There is an alert system used for student development which entails targeted intervention. Students are expected to engage with </w:t>
            </w:r>
            <w:r w:rsidR="00BC6BC2" w:rsidRPr="009A07B5">
              <w:rPr>
                <w:rFonts w:ascii="Arial" w:eastAsia="Calibri" w:hAnsi="Arial" w:cs="Arial"/>
                <w:color w:val="000000" w:themeColor="text1"/>
              </w:rPr>
              <w:t>face-to-face</w:t>
            </w:r>
            <w:r w:rsidRPr="009A07B5">
              <w:rPr>
                <w:rFonts w:ascii="Arial" w:eastAsia="Calibri" w:hAnsi="Arial" w:cs="Arial"/>
                <w:color w:val="000000" w:themeColor="text1"/>
              </w:rPr>
              <w:t xml:space="preserve"> meetings to discuss the concerns and formulate a plan of action moving forward. </w:t>
            </w:r>
            <w:r w:rsidR="00572C24" w:rsidRPr="009A07B5">
              <w:rPr>
                <w:rFonts w:ascii="Arial" w:eastAsia="Calibri" w:hAnsi="Arial" w:cs="Arial"/>
                <w:color w:val="000000" w:themeColor="text1"/>
              </w:rPr>
              <w:t>Students are</w:t>
            </w:r>
            <w:r w:rsidR="00026E9C">
              <w:rPr>
                <w:rFonts w:ascii="Arial" w:eastAsia="Calibri" w:hAnsi="Arial" w:cs="Arial"/>
                <w:color w:val="000000" w:themeColor="text1"/>
              </w:rPr>
              <w:t xml:space="preserve"> required to </w:t>
            </w:r>
            <w:r w:rsidR="00572C24" w:rsidRPr="009A07B5">
              <w:rPr>
                <w:rFonts w:ascii="Arial" w:eastAsia="Calibri" w:hAnsi="Arial" w:cs="Arial"/>
                <w:color w:val="000000" w:themeColor="text1"/>
              </w:rPr>
              <w:t xml:space="preserve">sign the Student Agreement document which details their obligation to raise a concern. </w:t>
            </w:r>
            <w:r w:rsidRPr="009A07B5">
              <w:rPr>
                <w:rFonts w:ascii="Arial" w:eastAsia="Calibri" w:hAnsi="Arial" w:cs="Arial"/>
                <w:color w:val="000000" w:themeColor="text1"/>
              </w:rPr>
              <w:t xml:space="preserve">The school carries out weekly </w:t>
            </w:r>
            <w:r w:rsidR="00EC7992">
              <w:rPr>
                <w:rFonts w:ascii="Arial" w:eastAsia="Calibri" w:hAnsi="Arial" w:cs="Arial"/>
                <w:color w:val="000000" w:themeColor="text1"/>
              </w:rPr>
              <w:t xml:space="preserve">reviews of LiftUpp and Datix safety alerts </w:t>
            </w:r>
            <w:r w:rsidRPr="009A07B5">
              <w:rPr>
                <w:rFonts w:ascii="Arial" w:eastAsia="Calibri" w:hAnsi="Arial" w:cs="Arial"/>
                <w:color w:val="000000" w:themeColor="text1"/>
              </w:rPr>
              <w:t xml:space="preserve">to </w:t>
            </w:r>
            <w:r w:rsidR="00EC7992">
              <w:rPr>
                <w:rFonts w:ascii="Arial" w:eastAsia="Calibri" w:hAnsi="Arial" w:cs="Arial"/>
                <w:color w:val="000000" w:themeColor="text1"/>
              </w:rPr>
              <w:t>identify</w:t>
            </w:r>
            <w:r w:rsidR="00EC7992" w:rsidRPr="009A07B5">
              <w:rPr>
                <w:rFonts w:ascii="Arial" w:eastAsia="Calibri" w:hAnsi="Arial" w:cs="Arial"/>
                <w:color w:val="000000" w:themeColor="text1"/>
              </w:rPr>
              <w:t xml:space="preserve"> </w:t>
            </w:r>
            <w:r w:rsidRPr="009A07B5">
              <w:rPr>
                <w:rFonts w:ascii="Arial" w:eastAsia="Calibri" w:hAnsi="Arial" w:cs="Arial"/>
                <w:color w:val="000000" w:themeColor="text1"/>
              </w:rPr>
              <w:t>concerns and this</w:t>
            </w:r>
            <w:r w:rsidR="00EC7992">
              <w:rPr>
                <w:rFonts w:ascii="Arial" w:eastAsia="Calibri" w:hAnsi="Arial" w:cs="Arial"/>
                <w:color w:val="000000" w:themeColor="text1"/>
              </w:rPr>
              <w:t xml:space="preserve"> in turn</w:t>
            </w:r>
            <w:r w:rsidRPr="009A07B5">
              <w:rPr>
                <w:rFonts w:ascii="Arial" w:eastAsia="Calibri" w:hAnsi="Arial" w:cs="Arial"/>
                <w:color w:val="000000" w:themeColor="text1"/>
              </w:rPr>
              <w:t xml:space="preserve"> informs the relevant</w:t>
            </w:r>
            <w:r w:rsidR="000D060C" w:rsidRPr="009A07B5">
              <w:rPr>
                <w:rFonts w:ascii="Arial" w:eastAsia="Calibri" w:hAnsi="Arial" w:cs="Arial"/>
                <w:color w:val="000000" w:themeColor="text1"/>
              </w:rPr>
              <w:t xml:space="preserve"> student</w:t>
            </w:r>
            <w:r w:rsidR="009A07B5" w:rsidRPr="009A07B5">
              <w:rPr>
                <w:rFonts w:ascii="Arial" w:eastAsia="Calibri" w:hAnsi="Arial" w:cs="Arial"/>
                <w:color w:val="000000" w:themeColor="text1"/>
              </w:rPr>
              <w:t>’s</w:t>
            </w:r>
            <w:r w:rsidRPr="009A07B5">
              <w:rPr>
                <w:rFonts w:ascii="Arial" w:eastAsia="Calibri" w:hAnsi="Arial" w:cs="Arial"/>
                <w:color w:val="000000" w:themeColor="text1"/>
              </w:rPr>
              <w:t xml:space="preserve"> </w:t>
            </w:r>
            <w:r w:rsidR="000D060C" w:rsidRPr="009A07B5">
              <w:rPr>
                <w:rFonts w:ascii="Arial" w:eastAsia="Calibri" w:hAnsi="Arial" w:cs="Arial"/>
                <w:color w:val="000000" w:themeColor="text1"/>
              </w:rPr>
              <w:t>plan</w:t>
            </w:r>
            <w:r w:rsidRPr="009A07B5">
              <w:rPr>
                <w:rFonts w:ascii="Arial" w:eastAsia="Calibri" w:hAnsi="Arial" w:cs="Arial"/>
                <w:color w:val="000000" w:themeColor="text1"/>
              </w:rPr>
              <w:t>.</w:t>
            </w:r>
            <w:r w:rsidR="000244B6" w:rsidRPr="009A07B5">
              <w:rPr>
                <w:rFonts w:ascii="Arial" w:eastAsia="Calibri" w:hAnsi="Arial" w:cs="Arial"/>
                <w:color w:val="000000" w:themeColor="text1"/>
              </w:rPr>
              <w:t xml:space="preserve"> </w:t>
            </w:r>
            <w:r w:rsidRPr="009A07B5">
              <w:rPr>
                <w:rFonts w:ascii="Arial" w:eastAsia="Calibri" w:hAnsi="Arial" w:cs="Arial"/>
                <w:color w:val="000000" w:themeColor="text1"/>
              </w:rPr>
              <w:t>The school demonstrated a clear duty of care towards patients for which students and staff are aware.</w:t>
            </w:r>
          </w:p>
          <w:p w14:paraId="252DCDCC" w14:textId="77777777" w:rsidR="00C85E07" w:rsidRPr="00044A9E" w:rsidRDefault="00C85E07" w:rsidP="00C85E07">
            <w:pPr>
              <w:tabs>
                <w:tab w:val="left" w:pos="720"/>
                <w:tab w:val="left" w:pos="9214"/>
              </w:tabs>
              <w:rPr>
                <w:rFonts w:ascii="Arial" w:eastAsia="Calibri" w:hAnsi="Arial" w:cs="Arial"/>
                <w:color w:val="000000" w:themeColor="text1"/>
              </w:rPr>
            </w:pPr>
          </w:p>
          <w:p w14:paraId="55CEB964" w14:textId="5C676553" w:rsidR="00E2148E" w:rsidRDefault="00E2148E" w:rsidP="00A759EC">
            <w:pPr>
              <w:tabs>
                <w:tab w:val="left" w:pos="720"/>
                <w:tab w:val="left" w:pos="9214"/>
              </w:tabs>
              <w:ind w:right="34"/>
              <w:rPr>
                <w:rFonts w:ascii="Arial" w:eastAsia="Calibri" w:hAnsi="Arial" w:cs="Arial"/>
                <w:b/>
                <w:i/>
                <w:color w:val="000000" w:themeColor="text1"/>
              </w:rPr>
            </w:pPr>
            <w:r w:rsidRPr="00044A9E">
              <w:rPr>
                <w:rFonts w:ascii="Arial" w:eastAsia="Calibri" w:hAnsi="Arial" w:cs="Arial"/>
                <w:b/>
                <w:color w:val="000000" w:themeColor="text1"/>
              </w:rPr>
              <w:t xml:space="preserve">Requirement 7: Systems must be in place to identify and record issues that may affect patient safety. Should a patient safety issue arise, appropriate action must be taken by the provider and where necessary the relevant regulatory body should be notified. </w:t>
            </w:r>
            <w:r w:rsidRPr="007701EF">
              <w:rPr>
                <w:rFonts w:ascii="Arial" w:eastAsia="Calibri" w:hAnsi="Arial" w:cs="Arial"/>
                <w:b/>
                <w:i/>
                <w:color w:val="000000" w:themeColor="text1"/>
              </w:rPr>
              <w:t xml:space="preserve">(Requirement </w:t>
            </w:r>
            <w:r w:rsidR="00527931" w:rsidRPr="007701EF">
              <w:rPr>
                <w:rFonts w:ascii="Arial" w:eastAsia="Calibri" w:hAnsi="Arial" w:cs="Arial"/>
                <w:b/>
                <w:i/>
                <w:color w:val="000000" w:themeColor="text1"/>
              </w:rPr>
              <w:t>Met</w:t>
            </w:r>
            <w:r w:rsidRPr="007701EF">
              <w:rPr>
                <w:rFonts w:ascii="Arial" w:eastAsia="Calibri" w:hAnsi="Arial" w:cs="Arial"/>
                <w:b/>
                <w:i/>
                <w:color w:val="000000" w:themeColor="text1"/>
              </w:rPr>
              <w:t>)</w:t>
            </w:r>
          </w:p>
          <w:p w14:paraId="15D45F98" w14:textId="77777777" w:rsidR="007701EF" w:rsidRDefault="007701EF" w:rsidP="00A759EC">
            <w:pPr>
              <w:tabs>
                <w:tab w:val="left" w:pos="720"/>
                <w:tab w:val="left" w:pos="9214"/>
              </w:tabs>
              <w:ind w:right="34"/>
              <w:rPr>
                <w:rFonts w:ascii="Arial" w:eastAsia="Calibri" w:hAnsi="Arial" w:cs="Arial"/>
                <w:b/>
                <w:i/>
                <w:color w:val="000000" w:themeColor="text1"/>
              </w:rPr>
            </w:pPr>
          </w:p>
          <w:p w14:paraId="39B007BC" w14:textId="7CCB07C4" w:rsidR="008A5D36" w:rsidRPr="00FC7D89" w:rsidRDefault="000D060C" w:rsidP="00A759EC">
            <w:pPr>
              <w:tabs>
                <w:tab w:val="left" w:pos="720"/>
                <w:tab w:val="left" w:pos="9214"/>
              </w:tabs>
              <w:ind w:right="34"/>
              <w:rPr>
                <w:rFonts w:ascii="Arial" w:eastAsia="Calibri" w:hAnsi="Arial" w:cs="Arial"/>
                <w:bCs/>
                <w:iCs/>
                <w:color w:val="000000" w:themeColor="text1"/>
              </w:rPr>
            </w:pPr>
            <w:r w:rsidRPr="00FC7D89">
              <w:rPr>
                <w:rFonts w:ascii="Arial" w:eastAsia="Calibri" w:hAnsi="Arial" w:cs="Arial"/>
                <w:bCs/>
                <w:iCs/>
                <w:color w:val="000000" w:themeColor="text1"/>
              </w:rPr>
              <w:t>As stated in requirement 6, t</w:t>
            </w:r>
            <w:r w:rsidR="009D6CA2" w:rsidRPr="00FC7D89">
              <w:rPr>
                <w:rFonts w:ascii="Arial" w:eastAsia="Calibri" w:hAnsi="Arial" w:cs="Arial"/>
                <w:bCs/>
                <w:iCs/>
                <w:color w:val="000000" w:themeColor="text1"/>
              </w:rPr>
              <w:t>he school has clear processes in place to identify, record and follow up on any patient safety issues. There was evidence demonstrating that actions had been taken to deal with patient safety incidents and the school used a number of resources to record this. The DATIX system was embedded well and students and staff were able to explain its purpose and how this tool was used to maintain high standards of patient care. Supplementing the DATIX system, incident logs were used on clinic and concerns were discussed thoroughly with student</w:t>
            </w:r>
            <w:r w:rsidR="00B25CCD" w:rsidRPr="00FC7D89">
              <w:rPr>
                <w:rFonts w:ascii="Arial" w:eastAsia="Calibri" w:hAnsi="Arial" w:cs="Arial"/>
                <w:bCs/>
                <w:iCs/>
                <w:color w:val="000000" w:themeColor="text1"/>
              </w:rPr>
              <w:t>s</w:t>
            </w:r>
            <w:r w:rsidR="009D6CA2" w:rsidRPr="00FC7D89">
              <w:rPr>
                <w:rFonts w:ascii="Arial" w:eastAsia="Calibri" w:hAnsi="Arial" w:cs="Arial"/>
                <w:bCs/>
                <w:iCs/>
                <w:color w:val="000000" w:themeColor="text1"/>
              </w:rPr>
              <w:t xml:space="preserve"> to prevent further incidents of a similar nature occurring again. During the inspection, the panel saw </w:t>
            </w:r>
            <w:r w:rsidR="00390F48" w:rsidRPr="00FC7D89">
              <w:rPr>
                <w:rFonts w:ascii="Arial" w:eastAsia="Calibri" w:hAnsi="Arial" w:cs="Arial"/>
                <w:bCs/>
                <w:iCs/>
                <w:color w:val="000000" w:themeColor="text1"/>
              </w:rPr>
              <w:t xml:space="preserve">evidence </w:t>
            </w:r>
            <w:r w:rsidR="009D6CA2" w:rsidRPr="00FC7D89">
              <w:rPr>
                <w:rFonts w:ascii="Arial" w:eastAsia="Calibri" w:hAnsi="Arial" w:cs="Arial"/>
                <w:bCs/>
                <w:iCs/>
                <w:color w:val="000000" w:themeColor="text1"/>
              </w:rPr>
              <w:t xml:space="preserve">the action </w:t>
            </w:r>
            <w:r w:rsidR="00E63FC2" w:rsidRPr="00FC7D89">
              <w:rPr>
                <w:rFonts w:ascii="Arial" w:eastAsia="Calibri" w:hAnsi="Arial" w:cs="Arial"/>
                <w:bCs/>
                <w:iCs/>
                <w:color w:val="000000" w:themeColor="text1"/>
              </w:rPr>
              <w:t xml:space="preserve">had been </w:t>
            </w:r>
            <w:r w:rsidR="009D6CA2" w:rsidRPr="00FC7D89">
              <w:rPr>
                <w:rFonts w:ascii="Arial" w:eastAsia="Calibri" w:hAnsi="Arial" w:cs="Arial"/>
                <w:bCs/>
                <w:iCs/>
                <w:color w:val="000000" w:themeColor="text1"/>
              </w:rPr>
              <w:t>taken to address</w:t>
            </w:r>
            <w:r w:rsidR="00E63FC2" w:rsidRPr="00FC7D89">
              <w:rPr>
                <w:rFonts w:ascii="Arial" w:eastAsia="Calibri" w:hAnsi="Arial" w:cs="Arial"/>
                <w:bCs/>
                <w:iCs/>
                <w:color w:val="000000" w:themeColor="text1"/>
              </w:rPr>
              <w:t xml:space="preserve"> all </w:t>
            </w:r>
            <w:r w:rsidR="009D6CA2" w:rsidRPr="00FC7D89">
              <w:rPr>
                <w:rFonts w:ascii="Arial" w:eastAsia="Calibri" w:hAnsi="Arial" w:cs="Arial"/>
                <w:bCs/>
                <w:iCs/>
                <w:color w:val="000000" w:themeColor="text1"/>
              </w:rPr>
              <w:t>concerns</w:t>
            </w:r>
            <w:r w:rsidR="00E63FC2" w:rsidRPr="00FC7D89">
              <w:rPr>
                <w:rFonts w:ascii="Arial" w:eastAsia="Calibri" w:hAnsi="Arial" w:cs="Arial"/>
                <w:bCs/>
                <w:iCs/>
                <w:color w:val="000000" w:themeColor="text1"/>
              </w:rPr>
              <w:t xml:space="preserve"> identified</w:t>
            </w:r>
            <w:r w:rsidR="009D6CA2" w:rsidRPr="00FC7D89">
              <w:rPr>
                <w:rFonts w:ascii="Arial" w:eastAsia="Calibri" w:hAnsi="Arial" w:cs="Arial"/>
                <w:bCs/>
                <w:iCs/>
                <w:color w:val="000000" w:themeColor="text1"/>
              </w:rPr>
              <w:t xml:space="preserve">. </w:t>
            </w:r>
          </w:p>
          <w:p w14:paraId="08382929" w14:textId="77777777" w:rsidR="008A5D36" w:rsidRPr="00FC7D89" w:rsidRDefault="008A5D36" w:rsidP="00A759EC">
            <w:pPr>
              <w:tabs>
                <w:tab w:val="left" w:pos="720"/>
                <w:tab w:val="left" w:pos="9214"/>
              </w:tabs>
              <w:ind w:right="34"/>
              <w:rPr>
                <w:rFonts w:ascii="Arial" w:eastAsia="Calibri" w:hAnsi="Arial" w:cs="Arial"/>
                <w:bCs/>
                <w:iCs/>
                <w:color w:val="000000" w:themeColor="text1"/>
              </w:rPr>
            </w:pPr>
          </w:p>
          <w:p w14:paraId="697707BA" w14:textId="418CD07D" w:rsidR="00884D04" w:rsidRPr="00FC7D89" w:rsidRDefault="001B383D" w:rsidP="00A759EC">
            <w:pPr>
              <w:tabs>
                <w:tab w:val="left" w:pos="720"/>
                <w:tab w:val="left" w:pos="9214"/>
              </w:tabs>
              <w:ind w:right="34"/>
              <w:rPr>
                <w:rFonts w:ascii="Arial" w:eastAsia="Calibri" w:hAnsi="Arial" w:cs="Arial"/>
                <w:bCs/>
                <w:iCs/>
                <w:color w:val="000000" w:themeColor="text1"/>
              </w:rPr>
            </w:pPr>
            <w:r w:rsidRPr="00FC7D89">
              <w:rPr>
                <w:rFonts w:ascii="Arial" w:eastAsia="Calibri" w:hAnsi="Arial" w:cs="Arial"/>
                <w:bCs/>
                <w:iCs/>
                <w:color w:val="000000" w:themeColor="text1"/>
              </w:rPr>
              <w:t>During the inspection t</w:t>
            </w:r>
            <w:r w:rsidR="008A5D36" w:rsidRPr="00FC7D89">
              <w:rPr>
                <w:rFonts w:ascii="Arial" w:eastAsia="Calibri" w:hAnsi="Arial" w:cs="Arial"/>
                <w:bCs/>
                <w:iCs/>
                <w:color w:val="000000" w:themeColor="text1"/>
              </w:rPr>
              <w:t xml:space="preserve">he panel observed good practice taking place </w:t>
            </w:r>
            <w:r w:rsidR="004B6A0F" w:rsidRPr="00FC7D89">
              <w:rPr>
                <w:rFonts w:ascii="Arial" w:eastAsia="Calibri" w:hAnsi="Arial" w:cs="Arial"/>
                <w:bCs/>
                <w:iCs/>
                <w:color w:val="000000" w:themeColor="text1"/>
              </w:rPr>
              <w:t>including</w:t>
            </w:r>
            <w:r w:rsidR="008A5D36" w:rsidRPr="00FC7D89">
              <w:rPr>
                <w:rFonts w:ascii="Arial" w:eastAsia="Calibri" w:hAnsi="Arial" w:cs="Arial"/>
                <w:bCs/>
                <w:iCs/>
                <w:color w:val="000000" w:themeColor="text1"/>
              </w:rPr>
              <w:t xml:space="preserve"> an acute intervention alert system that was used to develop student knowledge for future clinic</w:t>
            </w:r>
            <w:r w:rsidR="00E67B05" w:rsidRPr="00FC7D89">
              <w:rPr>
                <w:rFonts w:ascii="Arial" w:eastAsia="Calibri" w:hAnsi="Arial" w:cs="Arial"/>
                <w:bCs/>
                <w:iCs/>
                <w:color w:val="000000" w:themeColor="text1"/>
              </w:rPr>
              <w:t>al</w:t>
            </w:r>
            <w:r w:rsidR="008A5D36">
              <w:rPr>
                <w:rFonts w:ascii="Arial" w:eastAsia="Calibri" w:hAnsi="Arial" w:cs="Arial"/>
                <w:bCs/>
                <w:i/>
                <w:color w:val="000000" w:themeColor="text1"/>
              </w:rPr>
              <w:t xml:space="preserve"> </w:t>
            </w:r>
            <w:r w:rsidR="008A5D36" w:rsidRPr="00FC7D89">
              <w:rPr>
                <w:rFonts w:ascii="Arial" w:eastAsia="Calibri" w:hAnsi="Arial" w:cs="Arial"/>
                <w:bCs/>
                <w:iCs/>
                <w:color w:val="000000" w:themeColor="text1"/>
              </w:rPr>
              <w:lastRenderedPageBreak/>
              <w:t xml:space="preserve">practice which resulted in targeted intervention. </w:t>
            </w:r>
            <w:r w:rsidR="00FA6ADD" w:rsidRPr="00FC7D89">
              <w:rPr>
                <w:rFonts w:ascii="Arial" w:eastAsia="Calibri" w:hAnsi="Arial" w:cs="Arial"/>
                <w:bCs/>
                <w:iCs/>
                <w:color w:val="000000" w:themeColor="text1"/>
              </w:rPr>
              <w:t>Furthermore, s</w:t>
            </w:r>
            <w:r w:rsidR="004B6A0F" w:rsidRPr="00FC7D89">
              <w:rPr>
                <w:rFonts w:ascii="Arial" w:eastAsia="Calibri" w:hAnsi="Arial" w:cs="Arial"/>
                <w:bCs/>
                <w:iCs/>
                <w:color w:val="000000" w:themeColor="text1"/>
              </w:rPr>
              <w:t>tudents</w:t>
            </w:r>
            <w:r w:rsidR="008A5D36" w:rsidRPr="00FC7D89">
              <w:rPr>
                <w:rFonts w:ascii="Arial" w:eastAsia="Calibri" w:hAnsi="Arial" w:cs="Arial"/>
                <w:bCs/>
                <w:iCs/>
                <w:color w:val="000000" w:themeColor="text1"/>
              </w:rPr>
              <w:t xml:space="preserve"> meet</w:t>
            </w:r>
            <w:r w:rsidR="004B6A0F" w:rsidRPr="00FC7D89">
              <w:rPr>
                <w:rFonts w:ascii="Arial" w:eastAsia="Calibri" w:hAnsi="Arial" w:cs="Arial"/>
                <w:bCs/>
                <w:iCs/>
                <w:color w:val="000000" w:themeColor="text1"/>
              </w:rPr>
              <w:t xml:space="preserve"> with</w:t>
            </w:r>
            <w:r w:rsidR="008A5D36" w:rsidRPr="00FC7D89">
              <w:rPr>
                <w:rFonts w:ascii="Arial" w:eastAsia="Calibri" w:hAnsi="Arial" w:cs="Arial"/>
                <w:bCs/>
                <w:iCs/>
                <w:color w:val="000000" w:themeColor="text1"/>
              </w:rPr>
              <w:t xml:space="preserve"> clinical supervisors to discuss concerns and create a plan of action moving forward to prevent future safety incidents from occurring</w:t>
            </w:r>
            <w:r w:rsidR="00FA6ADD" w:rsidRPr="00FC7D89">
              <w:rPr>
                <w:rFonts w:ascii="Arial" w:eastAsia="Calibri" w:hAnsi="Arial" w:cs="Arial"/>
                <w:bCs/>
                <w:iCs/>
                <w:color w:val="000000" w:themeColor="text1"/>
              </w:rPr>
              <w:t>. Th</w:t>
            </w:r>
            <w:r w:rsidR="004508C5">
              <w:rPr>
                <w:rFonts w:ascii="Arial" w:eastAsia="Calibri" w:hAnsi="Arial" w:cs="Arial"/>
                <w:bCs/>
                <w:iCs/>
                <w:color w:val="000000" w:themeColor="text1"/>
              </w:rPr>
              <w:t>e acute intervention alerts</w:t>
            </w:r>
            <w:r w:rsidR="008A5D36" w:rsidRPr="00FC7D89">
              <w:rPr>
                <w:rFonts w:ascii="Arial" w:eastAsia="Calibri" w:hAnsi="Arial" w:cs="Arial"/>
                <w:bCs/>
                <w:iCs/>
                <w:color w:val="000000" w:themeColor="text1"/>
              </w:rPr>
              <w:t xml:space="preserve"> feed into the </w:t>
            </w:r>
            <w:r w:rsidR="00DB497B">
              <w:rPr>
                <w:rFonts w:ascii="Arial" w:eastAsia="Calibri" w:hAnsi="Arial" w:cs="Arial"/>
                <w:bCs/>
                <w:iCs/>
                <w:color w:val="000000" w:themeColor="text1"/>
              </w:rPr>
              <w:t xml:space="preserve">Clinical Development Monitoring Panel, Clinical </w:t>
            </w:r>
            <w:r w:rsidR="004508C5">
              <w:rPr>
                <w:rFonts w:ascii="Arial" w:eastAsia="Calibri" w:hAnsi="Arial" w:cs="Arial"/>
                <w:bCs/>
                <w:iCs/>
                <w:color w:val="000000" w:themeColor="text1"/>
              </w:rPr>
              <w:t>Safety</w:t>
            </w:r>
            <w:r w:rsidR="00DB497B">
              <w:rPr>
                <w:rFonts w:ascii="Arial" w:eastAsia="Calibri" w:hAnsi="Arial" w:cs="Arial"/>
                <w:bCs/>
                <w:iCs/>
                <w:color w:val="000000" w:themeColor="text1"/>
              </w:rPr>
              <w:t xml:space="preserve"> Panel and </w:t>
            </w:r>
            <w:r w:rsidR="004508C5">
              <w:rPr>
                <w:rFonts w:ascii="Arial" w:eastAsia="Calibri" w:hAnsi="Arial" w:cs="Arial"/>
                <w:bCs/>
                <w:iCs/>
                <w:color w:val="000000" w:themeColor="text1"/>
              </w:rPr>
              <w:t>Clinical</w:t>
            </w:r>
            <w:r w:rsidR="00DB497B">
              <w:rPr>
                <w:rFonts w:ascii="Arial" w:eastAsia="Calibri" w:hAnsi="Arial" w:cs="Arial"/>
                <w:bCs/>
                <w:iCs/>
                <w:color w:val="000000" w:themeColor="text1"/>
              </w:rPr>
              <w:t xml:space="preserve"> </w:t>
            </w:r>
            <w:r w:rsidR="004508C5">
              <w:rPr>
                <w:rFonts w:ascii="Arial" w:eastAsia="Calibri" w:hAnsi="Arial" w:cs="Arial"/>
                <w:bCs/>
                <w:iCs/>
                <w:color w:val="000000" w:themeColor="text1"/>
              </w:rPr>
              <w:t>Progress</w:t>
            </w:r>
            <w:r w:rsidR="00DB497B">
              <w:rPr>
                <w:rFonts w:ascii="Arial" w:eastAsia="Calibri" w:hAnsi="Arial" w:cs="Arial"/>
                <w:bCs/>
                <w:iCs/>
                <w:color w:val="000000" w:themeColor="text1"/>
              </w:rPr>
              <w:t xml:space="preserve"> Panel meetings</w:t>
            </w:r>
            <w:r w:rsidR="008A5D36" w:rsidRPr="00FC7D89">
              <w:rPr>
                <w:rFonts w:ascii="Arial" w:eastAsia="Calibri" w:hAnsi="Arial" w:cs="Arial"/>
                <w:bCs/>
                <w:iCs/>
                <w:color w:val="000000" w:themeColor="text1"/>
              </w:rPr>
              <w:t xml:space="preserve">. </w:t>
            </w:r>
          </w:p>
          <w:p w14:paraId="6E0E2A05" w14:textId="77777777" w:rsidR="00884D04" w:rsidRPr="00FC7D89" w:rsidRDefault="00884D04" w:rsidP="00A759EC">
            <w:pPr>
              <w:tabs>
                <w:tab w:val="left" w:pos="720"/>
                <w:tab w:val="left" w:pos="9214"/>
              </w:tabs>
              <w:ind w:right="34"/>
              <w:rPr>
                <w:rFonts w:ascii="Arial" w:eastAsia="Calibri" w:hAnsi="Arial" w:cs="Arial"/>
                <w:bCs/>
                <w:iCs/>
                <w:color w:val="000000" w:themeColor="text1"/>
              </w:rPr>
            </w:pPr>
          </w:p>
          <w:p w14:paraId="0C920A1D" w14:textId="19F6C768" w:rsidR="007701EF" w:rsidRPr="00FC7D89" w:rsidRDefault="00884D04" w:rsidP="00A759EC">
            <w:pPr>
              <w:tabs>
                <w:tab w:val="left" w:pos="720"/>
                <w:tab w:val="left" w:pos="9214"/>
              </w:tabs>
              <w:ind w:right="34"/>
              <w:rPr>
                <w:rFonts w:ascii="Arial" w:eastAsia="Calibri" w:hAnsi="Arial" w:cs="Arial"/>
                <w:bCs/>
                <w:iCs/>
                <w:color w:val="000000" w:themeColor="text1"/>
              </w:rPr>
            </w:pPr>
            <w:r w:rsidRPr="00FC7D89">
              <w:rPr>
                <w:rFonts w:ascii="Arial" w:eastAsia="Calibri" w:hAnsi="Arial" w:cs="Arial"/>
                <w:bCs/>
                <w:iCs/>
                <w:color w:val="000000" w:themeColor="text1"/>
              </w:rPr>
              <w:t xml:space="preserve">Placement staff were confident and assured that processes dealing with patient safety were clearly defined and there were a range of ways of raising these concerns with the school. Staff felt concerns raised with the school were followed up promptly and the response was appropriate leading to students being very reflective about any incidents that occur. </w:t>
            </w:r>
            <w:r w:rsidR="009D6CA2" w:rsidRPr="00FC7D89">
              <w:rPr>
                <w:rFonts w:ascii="Arial" w:eastAsia="Calibri" w:hAnsi="Arial" w:cs="Arial"/>
                <w:bCs/>
                <w:iCs/>
                <w:color w:val="000000" w:themeColor="text1"/>
              </w:rPr>
              <w:t xml:space="preserve">The panel was satisfied that this requirement has been met. </w:t>
            </w:r>
          </w:p>
          <w:p w14:paraId="76AB27A3" w14:textId="3893B38E" w:rsidR="00E2148E" w:rsidRPr="00044A9E" w:rsidRDefault="00E2148E" w:rsidP="00A759EC">
            <w:pPr>
              <w:tabs>
                <w:tab w:val="left" w:pos="720"/>
                <w:tab w:val="left" w:pos="9214"/>
              </w:tabs>
              <w:ind w:right="2789"/>
              <w:rPr>
                <w:rFonts w:ascii="Arial" w:eastAsia="Calibri" w:hAnsi="Arial" w:cs="Arial"/>
                <w:color w:val="000000" w:themeColor="text1"/>
              </w:rPr>
            </w:pPr>
          </w:p>
          <w:p w14:paraId="25F93F3D" w14:textId="527071A7" w:rsidR="00E2148E" w:rsidRDefault="00E2148E" w:rsidP="00A759EC">
            <w:pPr>
              <w:tabs>
                <w:tab w:val="left" w:pos="720"/>
                <w:tab w:val="left" w:pos="9214"/>
              </w:tabs>
              <w:rPr>
                <w:rFonts w:ascii="Arial" w:eastAsia="Calibri" w:hAnsi="Arial" w:cs="Arial"/>
                <w:b/>
                <w:i/>
                <w:color w:val="000000" w:themeColor="text1"/>
              </w:rPr>
            </w:pPr>
            <w:r w:rsidRPr="00044A9E">
              <w:rPr>
                <w:rFonts w:ascii="Arial" w:eastAsia="Calibri" w:hAnsi="Arial" w:cs="Arial"/>
                <w:b/>
                <w:color w:val="000000" w:themeColor="text1"/>
              </w:rPr>
              <w:t>Requirement 8: Providers must have a student fitness to practise policy and apply as required. The content and significance of the student fitness to practise procedures must be conveyed to students and aligned to GDC Student Fitness to Practise Guidance. Staff involved in the delivery of the programme should be familiar with the GDC Student Fitness to Practise Guidance. Providers must also ensure that the GDC’s Standard for the Dental Team are embedded within student training</w:t>
            </w:r>
            <w:r w:rsidRPr="008A5D36">
              <w:rPr>
                <w:rFonts w:ascii="Arial" w:eastAsia="Calibri" w:hAnsi="Arial" w:cs="Arial"/>
                <w:b/>
                <w:color w:val="000000" w:themeColor="text1"/>
              </w:rPr>
              <w:t xml:space="preserve">. </w:t>
            </w:r>
            <w:r w:rsidRPr="008A5D36">
              <w:rPr>
                <w:rFonts w:ascii="Arial" w:eastAsia="Calibri" w:hAnsi="Arial" w:cs="Arial"/>
                <w:b/>
                <w:i/>
                <w:color w:val="000000" w:themeColor="text1"/>
              </w:rPr>
              <w:t>(Requirement Met)</w:t>
            </w:r>
          </w:p>
          <w:p w14:paraId="6B64DFA0" w14:textId="77777777" w:rsidR="008A5D36" w:rsidRDefault="008A5D36" w:rsidP="00A759EC">
            <w:pPr>
              <w:tabs>
                <w:tab w:val="left" w:pos="720"/>
                <w:tab w:val="left" w:pos="9214"/>
              </w:tabs>
              <w:rPr>
                <w:rFonts w:ascii="Arial" w:eastAsia="Calibri" w:hAnsi="Arial" w:cs="Arial"/>
                <w:b/>
                <w:i/>
                <w:color w:val="000000" w:themeColor="text1"/>
              </w:rPr>
            </w:pPr>
          </w:p>
          <w:p w14:paraId="53932BB2" w14:textId="083114D7" w:rsidR="001C7B55" w:rsidRPr="00DB3949" w:rsidRDefault="002A3F04" w:rsidP="00A759EC">
            <w:pPr>
              <w:tabs>
                <w:tab w:val="left" w:pos="720"/>
                <w:tab w:val="left" w:pos="9214"/>
              </w:tabs>
              <w:rPr>
                <w:rFonts w:ascii="Arial" w:eastAsia="Calibri" w:hAnsi="Arial" w:cs="Arial"/>
                <w:bCs/>
                <w:color w:val="000000" w:themeColor="text1"/>
              </w:rPr>
            </w:pPr>
            <w:r w:rsidRPr="00DB3949">
              <w:rPr>
                <w:rFonts w:ascii="Arial" w:eastAsia="Calibri" w:hAnsi="Arial" w:cs="Arial"/>
                <w:bCs/>
                <w:color w:val="000000" w:themeColor="text1"/>
              </w:rPr>
              <w:t xml:space="preserve">The panel saw evidence of the student fitness to practise policy which detailed the process a student would undergo if a concern was raised. All students undertake </w:t>
            </w:r>
            <w:r w:rsidR="00DB497B">
              <w:rPr>
                <w:rFonts w:ascii="Arial" w:eastAsia="Calibri" w:hAnsi="Arial" w:cs="Arial"/>
                <w:bCs/>
                <w:color w:val="000000" w:themeColor="text1"/>
              </w:rPr>
              <w:t xml:space="preserve">the Personal Development and Well Being </w:t>
            </w:r>
            <w:r w:rsidR="004B6CF2">
              <w:rPr>
                <w:rFonts w:ascii="Arial" w:eastAsia="Calibri" w:hAnsi="Arial" w:cs="Arial"/>
                <w:bCs/>
                <w:color w:val="000000" w:themeColor="text1"/>
              </w:rPr>
              <w:t>(PDW)</w:t>
            </w:r>
            <w:r w:rsidR="00DB497B" w:rsidRPr="00DB3949">
              <w:rPr>
                <w:rFonts w:ascii="Arial" w:eastAsia="Calibri" w:hAnsi="Arial" w:cs="Arial"/>
                <w:bCs/>
                <w:color w:val="000000" w:themeColor="text1"/>
              </w:rPr>
              <w:t xml:space="preserve"> </w:t>
            </w:r>
            <w:r w:rsidR="00DB497B">
              <w:rPr>
                <w:rFonts w:ascii="Arial" w:eastAsia="Calibri" w:hAnsi="Arial" w:cs="Arial"/>
                <w:bCs/>
                <w:color w:val="000000" w:themeColor="text1"/>
              </w:rPr>
              <w:t xml:space="preserve">component that includes a </w:t>
            </w:r>
            <w:r w:rsidRPr="00DB3949">
              <w:rPr>
                <w:rFonts w:ascii="Arial" w:eastAsia="Calibri" w:hAnsi="Arial" w:cs="Arial"/>
                <w:bCs/>
                <w:color w:val="000000" w:themeColor="text1"/>
              </w:rPr>
              <w:t xml:space="preserve">focus on the expectations </w:t>
            </w:r>
            <w:r w:rsidR="00EC7992">
              <w:rPr>
                <w:rFonts w:ascii="Arial" w:eastAsia="Calibri" w:hAnsi="Arial" w:cs="Arial"/>
                <w:bCs/>
                <w:color w:val="000000" w:themeColor="text1"/>
              </w:rPr>
              <w:t>placed upon</w:t>
            </w:r>
            <w:r w:rsidRPr="00DB3949">
              <w:rPr>
                <w:rFonts w:ascii="Arial" w:eastAsia="Calibri" w:hAnsi="Arial" w:cs="Arial"/>
                <w:bCs/>
                <w:color w:val="000000" w:themeColor="text1"/>
              </w:rPr>
              <w:t xml:space="preserve"> students in both a clinical and non-clinical setting </w:t>
            </w:r>
            <w:r w:rsidR="00E3139C" w:rsidRPr="00DB3949">
              <w:rPr>
                <w:rFonts w:ascii="Arial" w:eastAsia="Calibri" w:hAnsi="Arial" w:cs="Arial"/>
                <w:bCs/>
                <w:color w:val="000000" w:themeColor="text1"/>
              </w:rPr>
              <w:t>regarding</w:t>
            </w:r>
            <w:r w:rsidRPr="00DB3949">
              <w:rPr>
                <w:rFonts w:ascii="Arial" w:eastAsia="Calibri" w:hAnsi="Arial" w:cs="Arial"/>
                <w:bCs/>
                <w:color w:val="000000" w:themeColor="text1"/>
              </w:rPr>
              <w:t xml:space="preserve"> fitness to practise issues; this </w:t>
            </w:r>
            <w:r w:rsidR="00DB497B">
              <w:rPr>
                <w:rFonts w:ascii="Arial" w:eastAsia="Calibri" w:hAnsi="Arial" w:cs="Arial"/>
                <w:bCs/>
                <w:color w:val="000000" w:themeColor="text1"/>
              </w:rPr>
              <w:t>component</w:t>
            </w:r>
            <w:r w:rsidR="00DB497B" w:rsidRPr="00DB3949">
              <w:rPr>
                <w:rFonts w:ascii="Arial" w:eastAsia="Calibri" w:hAnsi="Arial" w:cs="Arial"/>
                <w:bCs/>
                <w:color w:val="000000" w:themeColor="text1"/>
              </w:rPr>
              <w:t xml:space="preserve"> </w:t>
            </w:r>
            <w:r w:rsidRPr="00DB3949">
              <w:rPr>
                <w:rFonts w:ascii="Arial" w:eastAsia="Calibri" w:hAnsi="Arial" w:cs="Arial"/>
                <w:bCs/>
                <w:color w:val="000000" w:themeColor="text1"/>
              </w:rPr>
              <w:t xml:space="preserve">runs spirally through all 5 years of the BDS programme. </w:t>
            </w:r>
          </w:p>
          <w:p w14:paraId="33B6947D" w14:textId="77777777" w:rsidR="001C7B55" w:rsidRPr="00DB3949" w:rsidRDefault="001C7B55" w:rsidP="00A759EC">
            <w:pPr>
              <w:tabs>
                <w:tab w:val="left" w:pos="720"/>
                <w:tab w:val="left" w:pos="9214"/>
              </w:tabs>
              <w:rPr>
                <w:rFonts w:ascii="Arial" w:eastAsia="Calibri" w:hAnsi="Arial" w:cs="Arial"/>
                <w:bCs/>
                <w:color w:val="000000" w:themeColor="text1"/>
              </w:rPr>
            </w:pPr>
          </w:p>
          <w:p w14:paraId="1F3B3F8C" w14:textId="53C395BF" w:rsidR="008A5D36" w:rsidRPr="00DB3949" w:rsidRDefault="001C7B55" w:rsidP="00A759EC">
            <w:pPr>
              <w:tabs>
                <w:tab w:val="left" w:pos="720"/>
                <w:tab w:val="left" w:pos="9214"/>
              </w:tabs>
              <w:rPr>
                <w:rFonts w:ascii="Arial" w:eastAsia="Calibri" w:hAnsi="Arial" w:cs="Arial"/>
                <w:bCs/>
                <w:color w:val="000000" w:themeColor="text1"/>
              </w:rPr>
            </w:pPr>
            <w:r w:rsidRPr="00DB3949">
              <w:rPr>
                <w:rFonts w:ascii="Arial" w:eastAsia="Calibri" w:hAnsi="Arial" w:cs="Arial"/>
                <w:bCs/>
                <w:color w:val="000000" w:themeColor="text1"/>
              </w:rPr>
              <w:t>In addition to this</w:t>
            </w:r>
            <w:r w:rsidR="00DB3949" w:rsidRPr="00DB3949">
              <w:rPr>
                <w:rFonts w:ascii="Arial" w:eastAsia="Calibri" w:hAnsi="Arial" w:cs="Arial"/>
                <w:bCs/>
                <w:color w:val="000000" w:themeColor="text1"/>
              </w:rPr>
              <w:t>,</w:t>
            </w:r>
            <w:r w:rsidRPr="00DB3949">
              <w:rPr>
                <w:rFonts w:ascii="Arial" w:eastAsia="Calibri" w:hAnsi="Arial" w:cs="Arial"/>
                <w:bCs/>
                <w:color w:val="000000" w:themeColor="text1"/>
              </w:rPr>
              <w:t xml:space="preserve"> s</w:t>
            </w:r>
            <w:r w:rsidR="002A3F04" w:rsidRPr="00DB3949">
              <w:rPr>
                <w:rFonts w:ascii="Arial" w:eastAsia="Calibri" w:hAnsi="Arial" w:cs="Arial"/>
                <w:bCs/>
                <w:color w:val="000000" w:themeColor="text1"/>
              </w:rPr>
              <w:t>tudents</w:t>
            </w:r>
            <w:r w:rsidRPr="00DB3949">
              <w:rPr>
                <w:rFonts w:ascii="Arial" w:eastAsia="Calibri" w:hAnsi="Arial" w:cs="Arial"/>
                <w:bCs/>
                <w:color w:val="000000" w:themeColor="text1"/>
              </w:rPr>
              <w:t xml:space="preserve"> are required to</w:t>
            </w:r>
            <w:r w:rsidR="002A3F04" w:rsidRPr="00DB3949">
              <w:rPr>
                <w:rFonts w:ascii="Arial" w:eastAsia="Calibri" w:hAnsi="Arial" w:cs="Arial"/>
                <w:bCs/>
                <w:color w:val="000000" w:themeColor="text1"/>
              </w:rPr>
              <w:t xml:space="preserve"> sign a </w:t>
            </w:r>
            <w:r w:rsidR="00CE3E82" w:rsidRPr="00DB3949">
              <w:rPr>
                <w:rFonts w:ascii="Arial" w:eastAsia="Calibri" w:hAnsi="Arial" w:cs="Arial"/>
                <w:bCs/>
                <w:color w:val="000000" w:themeColor="text1"/>
              </w:rPr>
              <w:t>C</w:t>
            </w:r>
            <w:r w:rsidR="002A3F04" w:rsidRPr="00DB3949">
              <w:rPr>
                <w:rFonts w:ascii="Arial" w:eastAsia="Calibri" w:hAnsi="Arial" w:cs="Arial"/>
                <w:bCs/>
                <w:color w:val="000000" w:themeColor="text1"/>
              </w:rPr>
              <w:t xml:space="preserve">ode of </w:t>
            </w:r>
            <w:r w:rsidR="00CE3E82" w:rsidRPr="00DB3949">
              <w:rPr>
                <w:rFonts w:ascii="Arial" w:eastAsia="Calibri" w:hAnsi="Arial" w:cs="Arial"/>
                <w:bCs/>
                <w:color w:val="000000" w:themeColor="text1"/>
              </w:rPr>
              <w:t>C</w:t>
            </w:r>
            <w:r w:rsidR="002A3F04" w:rsidRPr="00DB3949">
              <w:rPr>
                <w:rFonts w:ascii="Arial" w:eastAsia="Calibri" w:hAnsi="Arial" w:cs="Arial"/>
                <w:bCs/>
                <w:color w:val="000000" w:themeColor="text1"/>
              </w:rPr>
              <w:t xml:space="preserve">onduct annually which informs them of the </w:t>
            </w:r>
            <w:r w:rsidR="00DB3949" w:rsidRPr="00DB3949">
              <w:rPr>
                <w:rFonts w:ascii="Arial" w:eastAsia="Calibri" w:hAnsi="Arial" w:cs="Arial"/>
                <w:bCs/>
                <w:color w:val="000000" w:themeColor="text1"/>
              </w:rPr>
              <w:t>schools’</w:t>
            </w:r>
            <w:r w:rsidR="002A3F04" w:rsidRPr="00DB3949">
              <w:rPr>
                <w:rFonts w:ascii="Arial" w:eastAsia="Calibri" w:hAnsi="Arial" w:cs="Arial"/>
                <w:bCs/>
                <w:color w:val="000000" w:themeColor="text1"/>
              </w:rPr>
              <w:t xml:space="preserve"> </w:t>
            </w:r>
            <w:r w:rsidR="00DB3949" w:rsidRPr="00DB3949">
              <w:rPr>
                <w:rFonts w:ascii="Arial" w:eastAsia="Calibri" w:hAnsi="Arial" w:cs="Arial"/>
                <w:bCs/>
                <w:color w:val="000000" w:themeColor="text1"/>
              </w:rPr>
              <w:t>expectations</w:t>
            </w:r>
            <w:r w:rsidR="00146237">
              <w:rPr>
                <w:rFonts w:ascii="Arial" w:eastAsia="Calibri" w:hAnsi="Arial" w:cs="Arial"/>
                <w:bCs/>
                <w:color w:val="000000" w:themeColor="text1"/>
              </w:rPr>
              <w:t>. T</w:t>
            </w:r>
            <w:r w:rsidR="002A3F04" w:rsidRPr="00DB3949">
              <w:rPr>
                <w:rFonts w:ascii="Arial" w:eastAsia="Calibri" w:hAnsi="Arial" w:cs="Arial"/>
                <w:bCs/>
                <w:color w:val="000000" w:themeColor="text1"/>
              </w:rPr>
              <w:t>hey expressed a good understanding of what actions might lead to a fitness to practise concern and where to find the policy</w:t>
            </w:r>
            <w:r w:rsidR="00CE3E82" w:rsidRPr="00DB3949">
              <w:rPr>
                <w:rFonts w:ascii="Arial" w:eastAsia="Calibri" w:hAnsi="Arial" w:cs="Arial"/>
                <w:bCs/>
                <w:color w:val="000000" w:themeColor="text1"/>
              </w:rPr>
              <w:t>.</w:t>
            </w:r>
            <w:r w:rsidR="002A3F04" w:rsidRPr="00DB3949">
              <w:rPr>
                <w:rFonts w:ascii="Arial" w:eastAsia="Calibri" w:hAnsi="Arial" w:cs="Arial"/>
                <w:bCs/>
                <w:color w:val="000000" w:themeColor="text1"/>
              </w:rPr>
              <w:t xml:space="preserve"> There are a variety of channels of communication available for students undergoing fitness to practise and these lines of communication are open and well used. </w:t>
            </w:r>
            <w:r w:rsidR="00CE3E82" w:rsidRPr="00DB3949">
              <w:rPr>
                <w:rFonts w:ascii="Arial" w:eastAsia="Calibri" w:hAnsi="Arial" w:cs="Arial"/>
                <w:bCs/>
                <w:color w:val="000000" w:themeColor="text1"/>
              </w:rPr>
              <w:t xml:space="preserve">Remediation processes are in place to support students and a Health and Conduct Committee is </w:t>
            </w:r>
            <w:r w:rsidR="000F0CDB">
              <w:rPr>
                <w:rFonts w:ascii="Arial" w:eastAsia="Calibri" w:hAnsi="Arial" w:cs="Arial"/>
                <w:bCs/>
                <w:color w:val="000000" w:themeColor="text1"/>
              </w:rPr>
              <w:t xml:space="preserve">often </w:t>
            </w:r>
            <w:r w:rsidR="00CE3E82" w:rsidRPr="00DB3949">
              <w:rPr>
                <w:rFonts w:ascii="Arial" w:eastAsia="Calibri" w:hAnsi="Arial" w:cs="Arial"/>
                <w:bCs/>
                <w:color w:val="000000" w:themeColor="text1"/>
              </w:rPr>
              <w:t xml:space="preserve">carried out first as a pathway to a fitness to practise investigation. </w:t>
            </w:r>
            <w:r w:rsidR="002A3F04" w:rsidRPr="00DB3949">
              <w:rPr>
                <w:rFonts w:ascii="Arial" w:eastAsia="Calibri" w:hAnsi="Arial" w:cs="Arial"/>
                <w:bCs/>
                <w:color w:val="000000" w:themeColor="text1"/>
              </w:rPr>
              <w:t xml:space="preserve">The panel </w:t>
            </w:r>
            <w:r w:rsidR="00DB3949" w:rsidRPr="00DB3949">
              <w:rPr>
                <w:rFonts w:ascii="Arial" w:eastAsia="Calibri" w:hAnsi="Arial" w:cs="Arial"/>
                <w:bCs/>
                <w:color w:val="000000" w:themeColor="text1"/>
              </w:rPr>
              <w:t>was</w:t>
            </w:r>
            <w:r w:rsidR="002A3F04" w:rsidRPr="00DB3949">
              <w:rPr>
                <w:rFonts w:ascii="Arial" w:eastAsia="Calibri" w:hAnsi="Arial" w:cs="Arial"/>
                <w:bCs/>
                <w:color w:val="000000" w:themeColor="text1"/>
              </w:rPr>
              <w:t xml:space="preserve"> satisfied that this requirement was met. </w:t>
            </w:r>
          </w:p>
          <w:p w14:paraId="09A33DCE" w14:textId="77777777" w:rsidR="00E2148E" w:rsidRPr="00044A9E" w:rsidRDefault="00E2148E" w:rsidP="00A759EC">
            <w:pPr>
              <w:tabs>
                <w:tab w:val="left" w:pos="9214"/>
              </w:tabs>
              <w:rPr>
                <w:rFonts w:ascii="Arial" w:eastAsia="Calibri" w:hAnsi="Arial" w:cs="Arial"/>
                <w:color w:val="000000" w:themeColor="text1"/>
              </w:rPr>
            </w:pPr>
          </w:p>
        </w:tc>
      </w:tr>
      <w:tr w:rsidR="00E2148E" w:rsidRPr="00044A9E" w14:paraId="23DE9A68" w14:textId="77777777" w:rsidTr="00A759EC">
        <w:tc>
          <w:tcPr>
            <w:tcW w:w="9464" w:type="dxa"/>
            <w:shd w:val="clear" w:color="auto" w:fill="2F5496" w:themeFill="accent1" w:themeFillShade="BF"/>
          </w:tcPr>
          <w:p w14:paraId="180AADF4" w14:textId="77777777" w:rsidR="00E2148E" w:rsidRPr="00044A9E" w:rsidRDefault="00E2148E" w:rsidP="00A759EC">
            <w:pPr>
              <w:rPr>
                <w:rFonts w:ascii="Arial" w:hAnsi="Arial" w:cs="Arial"/>
                <w:b/>
                <w:color w:val="FFFFFF" w:themeColor="background1"/>
              </w:rPr>
            </w:pPr>
            <w:r w:rsidRPr="00044A9E">
              <w:rPr>
                <w:rFonts w:ascii="Arial" w:hAnsi="Arial" w:cs="Arial"/>
                <w:b/>
                <w:color w:val="FFFFFF" w:themeColor="background1"/>
              </w:rPr>
              <w:lastRenderedPageBreak/>
              <w:t>Standard 2 – Quality evaluation and review of the programme</w:t>
            </w:r>
          </w:p>
          <w:p w14:paraId="6CC02F2C" w14:textId="77777777" w:rsidR="00E2148E" w:rsidRPr="00044A9E" w:rsidRDefault="00E2148E" w:rsidP="00A759EC">
            <w:pPr>
              <w:rPr>
                <w:rFonts w:ascii="Arial" w:hAnsi="Arial" w:cs="Arial"/>
                <w:b/>
                <w:color w:val="FFFFFF" w:themeColor="background1"/>
              </w:rPr>
            </w:pPr>
            <w:r w:rsidRPr="00044A9E">
              <w:rPr>
                <w:rFonts w:ascii="Arial" w:eastAsia="Calibri" w:hAnsi="Arial" w:cs="Arial"/>
                <w:b/>
                <w:color w:val="FFFFFF" w:themeColor="background1"/>
              </w:rPr>
              <w:t>The provider must have in place effective policy and procedures for the monitoring and review of the programme.</w:t>
            </w:r>
          </w:p>
        </w:tc>
      </w:tr>
      <w:tr w:rsidR="00E2148E" w:rsidRPr="00044A9E" w14:paraId="16612C79" w14:textId="77777777" w:rsidTr="00A759EC">
        <w:trPr>
          <w:trHeight w:val="270"/>
        </w:trPr>
        <w:tc>
          <w:tcPr>
            <w:tcW w:w="9464" w:type="dxa"/>
          </w:tcPr>
          <w:p w14:paraId="2DD63F28" w14:textId="77777777" w:rsidR="00E2148E" w:rsidRPr="00044A9E" w:rsidRDefault="00E2148E" w:rsidP="00A759EC">
            <w:pPr>
              <w:tabs>
                <w:tab w:val="left" w:pos="720"/>
                <w:tab w:val="left" w:pos="9214"/>
              </w:tabs>
              <w:ind w:right="34"/>
              <w:rPr>
                <w:rFonts w:ascii="Arial" w:eastAsia="Calibri" w:hAnsi="Arial" w:cs="Arial"/>
                <w:b/>
                <w:color w:val="000000" w:themeColor="text1"/>
              </w:rPr>
            </w:pPr>
          </w:p>
          <w:p w14:paraId="348E3E6F" w14:textId="62A382BF" w:rsidR="00E2148E" w:rsidRDefault="00E2148E" w:rsidP="00A759EC">
            <w:pPr>
              <w:tabs>
                <w:tab w:val="left" w:pos="720"/>
                <w:tab w:val="left" w:pos="9214"/>
              </w:tabs>
              <w:ind w:right="34"/>
              <w:rPr>
                <w:rFonts w:ascii="Arial" w:eastAsia="Calibri" w:hAnsi="Arial" w:cs="Arial"/>
                <w:b/>
                <w:i/>
                <w:color w:val="000000" w:themeColor="text1"/>
              </w:rPr>
            </w:pPr>
            <w:r w:rsidRPr="00044A9E">
              <w:rPr>
                <w:rFonts w:ascii="Arial" w:eastAsia="Calibri" w:hAnsi="Arial" w:cs="Arial"/>
                <w:b/>
              </w:rPr>
              <w:t>Requirement 9: The provider must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w:t>
            </w:r>
            <w:r w:rsidRPr="00A24973">
              <w:rPr>
                <w:rFonts w:ascii="Arial" w:eastAsia="Calibri" w:hAnsi="Arial" w:cs="Arial"/>
                <w:b/>
              </w:rPr>
              <w:t xml:space="preserve">. </w:t>
            </w:r>
            <w:r w:rsidR="0040750F" w:rsidRPr="00A24973">
              <w:rPr>
                <w:rFonts w:ascii="Arial" w:eastAsia="Calibri" w:hAnsi="Arial" w:cs="Arial"/>
                <w:b/>
                <w:i/>
                <w:color w:val="000000" w:themeColor="text1"/>
              </w:rPr>
              <w:t>(Requirement Met)</w:t>
            </w:r>
          </w:p>
          <w:p w14:paraId="52B65E6C" w14:textId="77777777" w:rsidR="00A24973" w:rsidRDefault="00A24973" w:rsidP="00A759EC">
            <w:pPr>
              <w:tabs>
                <w:tab w:val="left" w:pos="720"/>
                <w:tab w:val="left" w:pos="9214"/>
              </w:tabs>
              <w:ind w:right="34"/>
              <w:rPr>
                <w:rFonts w:ascii="Arial" w:eastAsia="Calibri" w:hAnsi="Arial" w:cs="Arial"/>
                <w:b/>
                <w:i/>
                <w:color w:val="000000" w:themeColor="text1"/>
              </w:rPr>
            </w:pPr>
          </w:p>
          <w:p w14:paraId="24FB5B13" w14:textId="77777777" w:rsidR="00927764" w:rsidRPr="003D0703" w:rsidRDefault="00385E72" w:rsidP="00A759EC">
            <w:pPr>
              <w:tabs>
                <w:tab w:val="left" w:pos="720"/>
                <w:tab w:val="left" w:pos="9214"/>
              </w:tabs>
              <w:ind w:right="34"/>
              <w:rPr>
                <w:rFonts w:ascii="Arial" w:eastAsia="Calibri" w:hAnsi="Arial" w:cs="Arial"/>
                <w:bCs/>
                <w:iCs/>
                <w:color w:val="000000" w:themeColor="text1"/>
              </w:rPr>
            </w:pPr>
            <w:r w:rsidRPr="003D0703">
              <w:rPr>
                <w:rFonts w:ascii="Arial" w:eastAsia="Calibri" w:hAnsi="Arial" w:cs="Arial"/>
                <w:bCs/>
                <w:iCs/>
                <w:color w:val="000000" w:themeColor="text1"/>
              </w:rPr>
              <w:t>During the inspection t</w:t>
            </w:r>
            <w:r w:rsidR="00A24973" w:rsidRPr="003D0703">
              <w:rPr>
                <w:rFonts w:ascii="Arial" w:eastAsia="Calibri" w:hAnsi="Arial" w:cs="Arial"/>
                <w:bCs/>
                <w:iCs/>
                <w:color w:val="000000" w:themeColor="text1"/>
              </w:rPr>
              <w:t xml:space="preserve">he </w:t>
            </w:r>
            <w:r w:rsidR="00FE7F62" w:rsidRPr="003D0703">
              <w:rPr>
                <w:rFonts w:ascii="Arial" w:eastAsia="Calibri" w:hAnsi="Arial" w:cs="Arial"/>
                <w:bCs/>
                <w:iCs/>
                <w:color w:val="000000" w:themeColor="text1"/>
              </w:rPr>
              <w:t>school p</w:t>
            </w:r>
            <w:r w:rsidRPr="003D0703">
              <w:rPr>
                <w:rFonts w:ascii="Arial" w:eastAsia="Calibri" w:hAnsi="Arial" w:cs="Arial"/>
                <w:bCs/>
                <w:iCs/>
                <w:color w:val="000000" w:themeColor="text1"/>
              </w:rPr>
              <w:t>rovided</w:t>
            </w:r>
            <w:r w:rsidR="00FE7F62" w:rsidRPr="003D0703">
              <w:rPr>
                <w:rFonts w:ascii="Arial" w:eastAsia="Calibri" w:hAnsi="Arial" w:cs="Arial"/>
                <w:bCs/>
                <w:iCs/>
                <w:color w:val="000000" w:themeColor="text1"/>
              </w:rPr>
              <w:t xml:space="preserve"> evidence of</w:t>
            </w:r>
            <w:r w:rsidR="00A24973" w:rsidRPr="003D0703">
              <w:rPr>
                <w:rFonts w:ascii="Arial" w:eastAsia="Calibri" w:hAnsi="Arial" w:cs="Arial"/>
                <w:bCs/>
                <w:iCs/>
                <w:color w:val="000000" w:themeColor="text1"/>
              </w:rPr>
              <w:t xml:space="preserve"> a </w:t>
            </w:r>
            <w:r w:rsidR="00393DFA" w:rsidRPr="003D0703">
              <w:rPr>
                <w:rFonts w:ascii="Arial" w:eastAsia="Calibri" w:hAnsi="Arial" w:cs="Arial"/>
                <w:bCs/>
                <w:iCs/>
                <w:color w:val="000000" w:themeColor="text1"/>
              </w:rPr>
              <w:t xml:space="preserve">clear </w:t>
            </w:r>
            <w:r w:rsidR="00A24973" w:rsidRPr="003D0703">
              <w:rPr>
                <w:rFonts w:ascii="Arial" w:eastAsia="Calibri" w:hAnsi="Arial" w:cs="Arial"/>
                <w:bCs/>
                <w:iCs/>
                <w:color w:val="000000" w:themeColor="text1"/>
              </w:rPr>
              <w:t>committee structure that allowed for effective reporting and escalating any concerns. Further evidence was presented that demonstrated that the school had robust procedures to deal with any changes to the curriculum</w:t>
            </w:r>
            <w:r w:rsidR="00CD2128" w:rsidRPr="003D0703">
              <w:rPr>
                <w:rFonts w:ascii="Arial" w:eastAsia="Calibri" w:hAnsi="Arial" w:cs="Arial"/>
                <w:bCs/>
                <w:iCs/>
                <w:color w:val="000000" w:themeColor="text1"/>
              </w:rPr>
              <w:t>, should they be required</w:t>
            </w:r>
            <w:r w:rsidR="00A24973" w:rsidRPr="003D0703">
              <w:rPr>
                <w:rFonts w:ascii="Arial" w:eastAsia="Calibri" w:hAnsi="Arial" w:cs="Arial"/>
                <w:bCs/>
                <w:iCs/>
                <w:color w:val="000000" w:themeColor="text1"/>
              </w:rPr>
              <w:t xml:space="preserve">. </w:t>
            </w:r>
            <w:r w:rsidR="00CD2128" w:rsidRPr="003D0703">
              <w:rPr>
                <w:rFonts w:ascii="Arial" w:eastAsia="Calibri" w:hAnsi="Arial" w:cs="Arial"/>
                <w:bCs/>
                <w:iCs/>
                <w:color w:val="000000" w:themeColor="text1"/>
              </w:rPr>
              <w:t xml:space="preserve">The panel noted that any </w:t>
            </w:r>
            <w:r w:rsidR="00A24973" w:rsidRPr="003D0703">
              <w:rPr>
                <w:rFonts w:ascii="Arial" w:eastAsia="Calibri" w:hAnsi="Arial" w:cs="Arial"/>
                <w:bCs/>
                <w:iCs/>
                <w:color w:val="000000" w:themeColor="text1"/>
              </w:rPr>
              <w:t xml:space="preserve">changes implemented were done so effectively and efficiently ensuring that it did not impact on student learning. </w:t>
            </w:r>
          </w:p>
          <w:p w14:paraId="408B38F8" w14:textId="77777777" w:rsidR="00927764" w:rsidRPr="003D0703" w:rsidRDefault="00927764" w:rsidP="00A759EC">
            <w:pPr>
              <w:tabs>
                <w:tab w:val="left" w:pos="720"/>
                <w:tab w:val="left" w:pos="9214"/>
              </w:tabs>
              <w:ind w:right="34"/>
              <w:rPr>
                <w:rFonts w:ascii="Arial" w:eastAsia="Calibri" w:hAnsi="Arial" w:cs="Arial"/>
                <w:bCs/>
                <w:iCs/>
                <w:color w:val="000000" w:themeColor="text1"/>
              </w:rPr>
            </w:pPr>
          </w:p>
          <w:p w14:paraId="3E28FEB9" w14:textId="566CB75D" w:rsidR="00FE7F62" w:rsidRPr="003D0703" w:rsidRDefault="00A24973" w:rsidP="00A759EC">
            <w:pPr>
              <w:tabs>
                <w:tab w:val="left" w:pos="720"/>
                <w:tab w:val="left" w:pos="9214"/>
              </w:tabs>
              <w:ind w:right="34"/>
              <w:rPr>
                <w:rFonts w:ascii="Arial" w:eastAsia="Calibri" w:hAnsi="Arial" w:cs="Arial"/>
                <w:bCs/>
                <w:iCs/>
                <w:color w:val="000000" w:themeColor="text1"/>
              </w:rPr>
            </w:pPr>
            <w:r w:rsidRPr="003D0703">
              <w:rPr>
                <w:rFonts w:ascii="Arial" w:eastAsia="Calibri" w:hAnsi="Arial" w:cs="Arial"/>
                <w:bCs/>
                <w:iCs/>
                <w:color w:val="000000" w:themeColor="text1"/>
              </w:rPr>
              <w:t>The school ha</w:t>
            </w:r>
            <w:r w:rsidR="00927764" w:rsidRPr="003D0703">
              <w:rPr>
                <w:rFonts w:ascii="Arial" w:eastAsia="Calibri" w:hAnsi="Arial" w:cs="Arial"/>
                <w:bCs/>
                <w:iCs/>
                <w:color w:val="000000" w:themeColor="text1"/>
              </w:rPr>
              <w:t>s</w:t>
            </w:r>
            <w:r w:rsidRPr="003D0703">
              <w:rPr>
                <w:rFonts w:ascii="Arial" w:eastAsia="Calibri" w:hAnsi="Arial" w:cs="Arial"/>
                <w:bCs/>
                <w:iCs/>
                <w:color w:val="000000" w:themeColor="text1"/>
              </w:rPr>
              <w:t xml:space="preserve"> regular meetings throughout the academic year involving both BDS and therapy leads looking at the quality management systems used and whether any necessary changes are required to improve student experience whilst ensuring they meet the GDC requirements regarding legislation. </w:t>
            </w:r>
            <w:r w:rsidR="00FE7F62" w:rsidRPr="003D0703">
              <w:rPr>
                <w:rFonts w:ascii="Arial" w:eastAsia="Calibri" w:hAnsi="Arial" w:cs="Arial"/>
                <w:bCs/>
                <w:iCs/>
                <w:color w:val="000000" w:themeColor="text1"/>
              </w:rPr>
              <w:t>The</w:t>
            </w:r>
            <w:r w:rsidR="00534F60" w:rsidRPr="003D0703">
              <w:rPr>
                <w:rFonts w:ascii="Arial" w:eastAsia="Calibri" w:hAnsi="Arial" w:cs="Arial"/>
                <w:bCs/>
                <w:iCs/>
                <w:color w:val="000000" w:themeColor="text1"/>
              </w:rPr>
              <w:t xml:space="preserve"> panel was informed that the</w:t>
            </w:r>
            <w:r w:rsidR="00FE7F62" w:rsidRPr="003D0703">
              <w:rPr>
                <w:rFonts w:ascii="Arial" w:eastAsia="Calibri" w:hAnsi="Arial" w:cs="Arial"/>
                <w:bCs/>
                <w:iCs/>
                <w:color w:val="000000" w:themeColor="text1"/>
              </w:rPr>
              <w:t xml:space="preserve"> school is actively reviewing the programme</w:t>
            </w:r>
            <w:r w:rsidR="00534F60" w:rsidRPr="003D0703">
              <w:rPr>
                <w:rFonts w:ascii="Arial" w:eastAsia="Calibri" w:hAnsi="Arial" w:cs="Arial"/>
                <w:bCs/>
                <w:iCs/>
                <w:color w:val="000000" w:themeColor="text1"/>
              </w:rPr>
              <w:t xml:space="preserve"> at the moment</w:t>
            </w:r>
            <w:r w:rsidR="00FE7F62" w:rsidRPr="003D0703">
              <w:rPr>
                <w:rFonts w:ascii="Arial" w:eastAsia="Calibri" w:hAnsi="Arial" w:cs="Arial"/>
                <w:bCs/>
                <w:iCs/>
                <w:color w:val="000000" w:themeColor="text1"/>
              </w:rPr>
              <w:t xml:space="preserve"> to ensure it meets the learning outcomes and behaviours set out in the Safe Practitioner Framework ready for implementation</w:t>
            </w:r>
            <w:r w:rsidR="00247300">
              <w:rPr>
                <w:rFonts w:ascii="Arial" w:eastAsia="Calibri" w:hAnsi="Arial" w:cs="Arial"/>
                <w:bCs/>
                <w:iCs/>
                <w:color w:val="000000" w:themeColor="text1"/>
              </w:rPr>
              <w:t xml:space="preserve"> for CLC1 </w:t>
            </w:r>
            <w:r w:rsidR="00247300">
              <w:rPr>
                <w:rFonts w:ascii="Arial" w:eastAsia="Calibri" w:hAnsi="Arial" w:cs="Arial"/>
                <w:bCs/>
                <w:iCs/>
                <w:color w:val="000000" w:themeColor="text1"/>
              </w:rPr>
              <w:lastRenderedPageBreak/>
              <w:t>(year 1)</w:t>
            </w:r>
            <w:r w:rsidR="00FE7F62" w:rsidRPr="003D0703">
              <w:rPr>
                <w:rFonts w:ascii="Arial" w:eastAsia="Calibri" w:hAnsi="Arial" w:cs="Arial"/>
                <w:bCs/>
                <w:iCs/>
                <w:color w:val="000000" w:themeColor="text1"/>
              </w:rPr>
              <w:t xml:space="preserve"> in August 2025. Evidence of this transition beginning to happen was seen by the panel and they were satisfied that this requirement has been met. </w:t>
            </w:r>
          </w:p>
          <w:p w14:paraId="4FFDFCC5" w14:textId="36DA003A" w:rsidR="00E2148E" w:rsidRPr="00044A9E" w:rsidRDefault="00E2148E" w:rsidP="00A759EC">
            <w:pPr>
              <w:tabs>
                <w:tab w:val="left" w:pos="720"/>
                <w:tab w:val="left" w:pos="9214"/>
              </w:tabs>
              <w:ind w:right="34"/>
              <w:rPr>
                <w:rFonts w:ascii="Arial" w:eastAsia="Calibri" w:hAnsi="Arial" w:cs="Arial"/>
                <w:color w:val="000000" w:themeColor="text1"/>
              </w:rPr>
            </w:pPr>
          </w:p>
          <w:p w14:paraId="176579BA" w14:textId="1A20D8A4" w:rsidR="00E2148E" w:rsidRDefault="00E2148E" w:rsidP="00A759EC">
            <w:pPr>
              <w:tabs>
                <w:tab w:val="left" w:pos="720"/>
                <w:tab w:val="left" w:pos="9214"/>
              </w:tabs>
              <w:ind w:right="34"/>
              <w:rPr>
                <w:rFonts w:ascii="Arial" w:eastAsia="Calibri" w:hAnsi="Arial" w:cs="Arial"/>
                <w:b/>
                <w:i/>
                <w:color w:val="000000" w:themeColor="text1"/>
              </w:rPr>
            </w:pPr>
            <w:r w:rsidRPr="00044A9E">
              <w:rPr>
                <w:rFonts w:ascii="Arial" w:eastAsia="Calibri" w:hAnsi="Arial" w:cs="Arial"/>
                <w:b/>
                <w:color w:val="000000" w:themeColor="text1"/>
              </w:rPr>
              <w:t xml:space="preserve">Requirement 10: Any concerns identified through the Quality Management framework, including internal and external reports relating to quality, must be addressed as soon as possible and the GDC notified of serious threats to students achieving the learning outcomes. </w:t>
            </w:r>
            <w:r w:rsidRPr="00A24973">
              <w:rPr>
                <w:rFonts w:ascii="Arial" w:eastAsia="Calibri" w:hAnsi="Arial" w:cs="Arial"/>
                <w:b/>
                <w:i/>
                <w:color w:val="000000" w:themeColor="text1"/>
              </w:rPr>
              <w:t>(Requirement Met)</w:t>
            </w:r>
          </w:p>
          <w:p w14:paraId="3E742FA7" w14:textId="77777777" w:rsidR="00A24973" w:rsidRDefault="00A24973" w:rsidP="00A759EC">
            <w:pPr>
              <w:tabs>
                <w:tab w:val="left" w:pos="720"/>
                <w:tab w:val="left" w:pos="9214"/>
              </w:tabs>
              <w:ind w:right="34"/>
              <w:rPr>
                <w:rFonts w:ascii="Arial" w:eastAsia="Calibri" w:hAnsi="Arial" w:cs="Arial"/>
                <w:b/>
                <w:i/>
                <w:color w:val="000000" w:themeColor="text1"/>
              </w:rPr>
            </w:pPr>
          </w:p>
          <w:p w14:paraId="585ED877" w14:textId="460485FD" w:rsidR="00DB7473" w:rsidRPr="004E35F4" w:rsidRDefault="0003036D" w:rsidP="00A759EC">
            <w:pPr>
              <w:tabs>
                <w:tab w:val="left" w:pos="720"/>
                <w:tab w:val="left" w:pos="9214"/>
              </w:tabs>
              <w:ind w:right="34"/>
              <w:rPr>
                <w:rFonts w:ascii="Arial" w:eastAsia="Calibri" w:hAnsi="Arial" w:cs="Arial"/>
                <w:bCs/>
                <w:iCs/>
                <w:color w:val="000000" w:themeColor="text1"/>
              </w:rPr>
            </w:pPr>
            <w:r w:rsidRPr="004E35F4">
              <w:rPr>
                <w:rFonts w:ascii="Arial" w:eastAsia="Calibri" w:hAnsi="Arial" w:cs="Arial"/>
                <w:bCs/>
                <w:iCs/>
                <w:color w:val="000000" w:themeColor="text1"/>
              </w:rPr>
              <w:t>The</w:t>
            </w:r>
            <w:r w:rsidR="00B5472A" w:rsidRPr="004E35F4">
              <w:rPr>
                <w:rFonts w:ascii="Arial" w:eastAsia="Calibri" w:hAnsi="Arial" w:cs="Arial"/>
                <w:bCs/>
                <w:iCs/>
                <w:color w:val="000000" w:themeColor="text1"/>
              </w:rPr>
              <w:t xml:space="preserve"> panel noted that the</w:t>
            </w:r>
            <w:r w:rsidRPr="004E35F4">
              <w:rPr>
                <w:rFonts w:ascii="Arial" w:eastAsia="Calibri" w:hAnsi="Arial" w:cs="Arial"/>
                <w:bCs/>
                <w:iCs/>
                <w:color w:val="000000" w:themeColor="text1"/>
              </w:rPr>
              <w:t xml:space="preserve"> school h</w:t>
            </w:r>
            <w:r w:rsidR="00B5472A" w:rsidRPr="004E35F4">
              <w:rPr>
                <w:rFonts w:ascii="Arial" w:eastAsia="Calibri" w:hAnsi="Arial" w:cs="Arial"/>
                <w:bCs/>
                <w:iCs/>
                <w:color w:val="000000" w:themeColor="text1"/>
              </w:rPr>
              <w:t>as</w:t>
            </w:r>
            <w:r w:rsidRPr="004E35F4">
              <w:rPr>
                <w:rFonts w:ascii="Arial" w:eastAsia="Calibri" w:hAnsi="Arial" w:cs="Arial"/>
                <w:bCs/>
                <w:iCs/>
                <w:color w:val="000000" w:themeColor="text1"/>
              </w:rPr>
              <w:t xml:space="preserve"> several rigorous processes in place to quality assure the BDS programme. Placements have an identified member of school staff who they liaise with to communicate the performance of students and to raise any concerns or highlight areas of positive practi</w:t>
            </w:r>
            <w:r w:rsidR="0022378B">
              <w:rPr>
                <w:rFonts w:ascii="Arial" w:eastAsia="Calibri" w:hAnsi="Arial" w:cs="Arial"/>
                <w:bCs/>
                <w:iCs/>
                <w:color w:val="000000" w:themeColor="text1"/>
              </w:rPr>
              <w:t>c</w:t>
            </w:r>
            <w:r w:rsidRPr="004E35F4">
              <w:rPr>
                <w:rFonts w:ascii="Arial" w:eastAsia="Calibri" w:hAnsi="Arial" w:cs="Arial"/>
                <w:bCs/>
                <w:iCs/>
                <w:color w:val="000000" w:themeColor="text1"/>
              </w:rPr>
              <w:t xml:space="preserve">e. All placements undergo training led by the school on the use of the LiftUpp system to record student performance </w:t>
            </w:r>
            <w:r w:rsidR="006E43E3" w:rsidRPr="004E35F4">
              <w:rPr>
                <w:rFonts w:ascii="Arial" w:eastAsia="Calibri" w:hAnsi="Arial" w:cs="Arial"/>
                <w:bCs/>
                <w:iCs/>
                <w:color w:val="000000" w:themeColor="text1"/>
              </w:rPr>
              <w:t xml:space="preserve">and </w:t>
            </w:r>
            <w:r w:rsidRPr="004E35F4">
              <w:rPr>
                <w:rFonts w:ascii="Arial" w:eastAsia="Calibri" w:hAnsi="Arial" w:cs="Arial"/>
                <w:bCs/>
                <w:iCs/>
                <w:color w:val="000000" w:themeColor="text1"/>
              </w:rPr>
              <w:t>to ensure that all assessments are consistent and standardised. The school ha</w:t>
            </w:r>
            <w:r w:rsidR="00F62A8A" w:rsidRPr="004E35F4">
              <w:rPr>
                <w:rFonts w:ascii="Arial" w:eastAsia="Calibri" w:hAnsi="Arial" w:cs="Arial"/>
                <w:bCs/>
                <w:iCs/>
                <w:color w:val="000000" w:themeColor="text1"/>
              </w:rPr>
              <w:t>s</w:t>
            </w:r>
            <w:r w:rsidRPr="004E35F4">
              <w:rPr>
                <w:rFonts w:ascii="Arial" w:eastAsia="Calibri" w:hAnsi="Arial" w:cs="Arial"/>
                <w:bCs/>
                <w:iCs/>
                <w:color w:val="000000" w:themeColor="text1"/>
              </w:rPr>
              <w:t xml:space="preserve"> an induction for all placements to ensure they feel supported and well equipped when taking on students. Placement staff felt well supported by the school and were happy with the relationship they have with both school staff and students. Several other methods of standardisation are carried out to ensure that the quality of the student experience is positive such as calibration meetings and annual reviews.</w:t>
            </w:r>
            <w:r w:rsidR="00402B20" w:rsidRPr="004E35F4">
              <w:rPr>
                <w:rFonts w:ascii="Arial" w:eastAsia="Calibri" w:hAnsi="Arial" w:cs="Arial"/>
                <w:bCs/>
                <w:iCs/>
                <w:color w:val="000000" w:themeColor="text1"/>
              </w:rPr>
              <w:t xml:space="preserve"> </w:t>
            </w:r>
          </w:p>
          <w:p w14:paraId="16D90447" w14:textId="77777777" w:rsidR="00DB7473" w:rsidRPr="004E35F4" w:rsidRDefault="00DB7473" w:rsidP="00A759EC">
            <w:pPr>
              <w:tabs>
                <w:tab w:val="left" w:pos="720"/>
                <w:tab w:val="left" w:pos="9214"/>
              </w:tabs>
              <w:ind w:right="34"/>
              <w:rPr>
                <w:rFonts w:ascii="Arial" w:eastAsia="Calibri" w:hAnsi="Arial" w:cs="Arial"/>
                <w:bCs/>
                <w:iCs/>
                <w:color w:val="000000" w:themeColor="text1"/>
              </w:rPr>
            </w:pPr>
          </w:p>
          <w:p w14:paraId="791CC7BD" w14:textId="126F7097" w:rsidR="00A24973" w:rsidRPr="004E35F4" w:rsidRDefault="00DB7473" w:rsidP="00A759EC">
            <w:pPr>
              <w:tabs>
                <w:tab w:val="left" w:pos="720"/>
                <w:tab w:val="left" w:pos="9214"/>
              </w:tabs>
              <w:ind w:right="34"/>
              <w:rPr>
                <w:rFonts w:ascii="Arial" w:eastAsia="Calibri" w:hAnsi="Arial" w:cs="Arial"/>
                <w:bCs/>
                <w:iCs/>
                <w:color w:val="000000" w:themeColor="text1"/>
              </w:rPr>
            </w:pPr>
            <w:r w:rsidRPr="004E35F4">
              <w:rPr>
                <w:rFonts w:ascii="Arial" w:eastAsia="Calibri" w:hAnsi="Arial" w:cs="Arial"/>
                <w:bCs/>
                <w:iCs/>
                <w:color w:val="000000" w:themeColor="text1"/>
              </w:rPr>
              <w:t xml:space="preserve">The school identified and responded proactively to key areas that were identified as a concern. Recruitment has taken place to replace the loss of specialist staff and early planning work was undertaken by the Timetabling Team to mitigate against the impact of </w:t>
            </w:r>
            <w:r w:rsidR="005924BC" w:rsidRPr="004E35F4">
              <w:rPr>
                <w:rFonts w:ascii="Arial" w:eastAsia="Calibri" w:hAnsi="Arial" w:cs="Arial"/>
                <w:bCs/>
                <w:iCs/>
                <w:color w:val="000000" w:themeColor="text1"/>
              </w:rPr>
              <w:t>larger than normal cohorts</w:t>
            </w:r>
            <w:r w:rsidRPr="004E35F4">
              <w:rPr>
                <w:rFonts w:ascii="Arial" w:eastAsia="Calibri" w:hAnsi="Arial" w:cs="Arial"/>
                <w:bCs/>
                <w:iCs/>
                <w:color w:val="000000" w:themeColor="text1"/>
              </w:rPr>
              <w:t>. The school has also worked hard on patient recruitment to maximise stude</w:t>
            </w:r>
            <w:r w:rsidR="00FC17D1" w:rsidRPr="004E35F4">
              <w:rPr>
                <w:rFonts w:ascii="Arial" w:eastAsia="Calibri" w:hAnsi="Arial" w:cs="Arial"/>
                <w:bCs/>
                <w:iCs/>
                <w:color w:val="000000" w:themeColor="text1"/>
              </w:rPr>
              <w:t>nt clinical experience</w:t>
            </w:r>
            <w:r w:rsidRPr="004E35F4">
              <w:rPr>
                <w:rFonts w:ascii="Arial" w:eastAsia="Calibri" w:hAnsi="Arial" w:cs="Arial"/>
                <w:bCs/>
                <w:iCs/>
                <w:color w:val="000000" w:themeColor="text1"/>
              </w:rPr>
              <w:t xml:space="preserve">. </w:t>
            </w:r>
            <w:r w:rsidR="00402B20" w:rsidRPr="004E35F4">
              <w:rPr>
                <w:rFonts w:ascii="Arial" w:eastAsia="Calibri" w:hAnsi="Arial" w:cs="Arial"/>
                <w:bCs/>
                <w:iCs/>
                <w:color w:val="000000" w:themeColor="text1"/>
              </w:rPr>
              <w:t>The panel w</w:t>
            </w:r>
            <w:r w:rsidR="00FC17D1" w:rsidRPr="004E35F4">
              <w:rPr>
                <w:rFonts w:ascii="Arial" w:eastAsia="Calibri" w:hAnsi="Arial" w:cs="Arial"/>
                <w:bCs/>
                <w:iCs/>
                <w:color w:val="000000" w:themeColor="text1"/>
              </w:rPr>
              <w:t>as</w:t>
            </w:r>
            <w:r w:rsidR="00402B20" w:rsidRPr="004E35F4">
              <w:rPr>
                <w:rFonts w:ascii="Arial" w:eastAsia="Calibri" w:hAnsi="Arial" w:cs="Arial"/>
                <w:bCs/>
                <w:iCs/>
                <w:color w:val="000000" w:themeColor="text1"/>
              </w:rPr>
              <w:t xml:space="preserve"> satisfied that the school had a range of comprehensive measures in place to ensure students receiv</w:t>
            </w:r>
            <w:r w:rsidR="006F6300" w:rsidRPr="004E35F4">
              <w:rPr>
                <w:rFonts w:ascii="Arial" w:eastAsia="Calibri" w:hAnsi="Arial" w:cs="Arial"/>
                <w:bCs/>
                <w:iCs/>
                <w:color w:val="000000" w:themeColor="text1"/>
              </w:rPr>
              <w:t>e</w:t>
            </w:r>
            <w:r w:rsidR="00402B20" w:rsidRPr="004E35F4">
              <w:rPr>
                <w:rFonts w:ascii="Arial" w:eastAsia="Calibri" w:hAnsi="Arial" w:cs="Arial"/>
                <w:bCs/>
                <w:iCs/>
                <w:color w:val="000000" w:themeColor="text1"/>
              </w:rPr>
              <w:t xml:space="preserve"> a high quality of education both on site and </w:t>
            </w:r>
            <w:r w:rsidR="00572C24" w:rsidRPr="004E35F4">
              <w:rPr>
                <w:rFonts w:ascii="Arial" w:eastAsia="Calibri" w:hAnsi="Arial" w:cs="Arial"/>
                <w:bCs/>
                <w:iCs/>
                <w:color w:val="000000" w:themeColor="text1"/>
              </w:rPr>
              <w:t>o</w:t>
            </w:r>
            <w:r w:rsidR="00402B20" w:rsidRPr="004E35F4">
              <w:rPr>
                <w:rFonts w:ascii="Arial" w:eastAsia="Calibri" w:hAnsi="Arial" w:cs="Arial"/>
                <w:bCs/>
                <w:iCs/>
                <w:color w:val="000000" w:themeColor="text1"/>
              </w:rPr>
              <w:t>n placements</w:t>
            </w:r>
            <w:r w:rsidR="0044414E">
              <w:rPr>
                <w:rFonts w:ascii="Arial" w:eastAsia="Calibri" w:hAnsi="Arial" w:cs="Arial"/>
                <w:bCs/>
                <w:iCs/>
                <w:color w:val="000000" w:themeColor="text1"/>
              </w:rPr>
              <w:t>,</w:t>
            </w:r>
            <w:r w:rsidR="00402B20" w:rsidRPr="004E35F4">
              <w:rPr>
                <w:rFonts w:ascii="Arial" w:eastAsia="Calibri" w:hAnsi="Arial" w:cs="Arial"/>
                <w:bCs/>
                <w:iCs/>
                <w:color w:val="000000" w:themeColor="text1"/>
              </w:rPr>
              <w:t xml:space="preserve"> therefore, </w:t>
            </w:r>
            <w:r w:rsidR="00AD627A" w:rsidRPr="004E35F4">
              <w:rPr>
                <w:rFonts w:ascii="Arial" w:eastAsia="Calibri" w:hAnsi="Arial" w:cs="Arial"/>
                <w:bCs/>
                <w:iCs/>
                <w:color w:val="000000" w:themeColor="text1"/>
              </w:rPr>
              <w:t>the panel w</w:t>
            </w:r>
            <w:r w:rsidR="00DB3949" w:rsidRPr="004E35F4">
              <w:rPr>
                <w:rFonts w:ascii="Arial" w:eastAsia="Calibri" w:hAnsi="Arial" w:cs="Arial"/>
                <w:bCs/>
                <w:iCs/>
                <w:color w:val="000000" w:themeColor="text1"/>
              </w:rPr>
              <w:t>as</w:t>
            </w:r>
            <w:r w:rsidR="00AD627A" w:rsidRPr="004E35F4">
              <w:rPr>
                <w:rFonts w:ascii="Arial" w:eastAsia="Calibri" w:hAnsi="Arial" w:cs="Arial"/>
                <w:bCs/>
                <w:iCs/>
                <w:color w:val="000000" w:themeColor="text1"/>
              </w:rPr>
              <w:t xml:space="preserve"> satisfied </w:t>
            </w:r>
            <w:r w:rsidR="00402B20" w:rsidRPr="004E35F4">
              <w:rPr>
                <w:rFonts w:ascii="Arial" w:eastAsia="Calibri" w:hAnsi="Arial" w:cs="Arial"/>
                <w:bCs/>
                <w:iCs/>
                <w:color w:val="000000" w:themeColor="text1"/>
              </w:rPr>
              <w:t xml:space="preserve">this requirement has been met. </w:t>
            </w:r>
          </w:p>
          <w:p w14:paraId="7821D7D6" w14:textId="77777777" w:rsidR="00851B34" w:rsidRPr="00044A9E" w:rsidRDefault="00851B34" w:rsidP="00A759EC">
            <w:pPr>
              <w:tabs>
                <w:tab w:val="left" w:pos="9214"/>
              </w:tabs>
              <w:ind w:right="34"/>
              <w:rPr>
                <w:rFonts w:ascii="Arial" w:eastAsia="Calibri" w:hAnsi="Arial" w:cs="Arial"/>
                <w:color w:val="000000" w:themeColor="text1"/>
              </w:rPr>
            </w:pPr>
          </w:p>
          <w:p w14:paraId="3AE3FCA0" w14:textId="40C7B97F" w:rsidR="00E2148E" w:rsidRDefault="00E2148E" w:rsidP="00A759EC">
            <w:pPr>
              <w:tabs>
                <w:tab w:val="left" w:pos="720"/>
                <w:tab w:val="left" w:pos="9214"/>
              </w:tabs>
              <w:ind w:right="34"/>
              <w:rPr>
                <w:rFonts w:ascii="Arial" w:eastAsia="Calibri" w:hAnsi="Arial" w:cs="Arial"/>
                <w:b/>
                <w:i/>
                <w:color w:val="000000" w:themeColor="text1"/>
              </w:rPr>
            </w:pPr>
            <w:r w:rsidRPr="00044A9E">
              <w:rPr>
                <w:rFonts w:ascii="Arial" w:eastAsia="Calibri" w:hAnsi="Arial" w:cs="Arial"/>
                <w:b/>
                <w:color w:val="000000" w:themeColor="text1"/>
              </w:rPr>
              <w:t xml:space="preserve">Requirement 11: 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 </w:t>
            </w:r>
            <w:r w:rsidRPr="00DC4D14">
              <w:rPr>
                <w:rFonts w:ascii="Arial" w:eastAsia="Calibri" w:hAnsi="Arial" w:cs="Arial"/>
                <w:b/>
                <w:i/>
                <w:color w:val="000000" w:themeColor="text1"/>
              </w:rPr>
              <w:t>(Requirement Met)</w:t>
            </w:r>
          </w:p>
          <w:p w14:paraId="6AB77949" w14:textId="77777777" w:rsidR="00DC4D14" w:rsidRDefault="00DC4D14" w:rsidP="00A759EC">
            <w:pPr>
              <w:tabs>
                <w:tab w:val="left" w:pos="720"/>
                <w:tab w:val="left" w:pos="9214"/>
              </w:tabs>
              <w:ind w:right="34"/>
              <w:rPr>
                <w:rFonts w:ascii="Arial" w:eastAsia="Calibri" w:hAnsi="Arial" w:cs="Arial"/>
                <w:b/>
                <w:i/>
                <w:color w:val="000000" w:themeColor="text1"/>
              </w:rPr>
            </w:pPr>
          </w:p>
          <w:p w14:paraId="15E82555" w14:textId="77777777" w:rsidR="00557BD1" w:rsidRPr="002B0116" w:rsidRDefault="00396412" w:rsidP="00A759EC">
            <w:pPr>
              <w:tabs>
                <w:tab w:val="left" w:pos="720"/>
                <w:tab w:val="left" w:pos="9214"/>
              </w:tabs>
              <w:ind w:right="34"/>
              <w:rPr>
                <w:rFonts w:ascii="Arial" w:eastAsia="Calibri" w:hAnsi="Arial" w:cs="Arial"/>
                <w:bCs/>
                <w:iCs/>
                <w:color w:val="000000" w:themeColor="text1"/>
              </w:rPr>
            </w:pPr>
            <w:r w:rsidRPr="002B0116">
              <w:rPr>
                <w:rFonts w:ascii="Arial" w:eastAsia="Calibri" w:hAnsi="Arial" w:cs="Arial"/>
                <w:bCs/>
                <w:iCs/>
                <w:color w:val="000000" w:themeColor="text1"/>
              </w:rPr>
              <w:t xml:space="preserve">The school provided many avenues for ensuring the programme underwent rigorous internal and external quality assurance. </w:t>
            </w:r>
            <w:r w:rsidR="00192549" w:rsidRPr="002B0116">
              <w:rPr>
                <w:rFonts w:ascii="Arial" w:eastAsia="Calibri" w:hAnsi="Arial" w:cs="Arial"/>
                <w:bCs/>
                <w:iCs/>
                <w:color w:val="000000" w:themeColor="text1"/>
              </w:rPr>
              <w:t>The panel was provided with evidence of e</w:t>
            </w:r>
            <w:r w:rsidRPr="002B0116">
              <w:rPr>
                <w:rFonts w:ascii="Arial" w:eastAsia="Calibri" w:hAnsi="Arial" w:cs="Arial"/>
                <w:bCs/>
                <w:iCs/>
                <w:color w:val="000000" w:themeColor="text1"/>
              </w:rPr>
              <w:t xml:space="preserve">xternal examiner reports </w:t>
            </w:r>
            <w:r w:rsidR="003A5516" w:rsidRPr="002B0116">
              <w:rPr>
                <w:rFonts w:ascii="Arial" w:eastAsia="Calibri" w:hAnsi="Arial" w:cs="Arial"/>
                <w:bCs/>
                <w:iCs/>
                <w:color w:val="000000" w:themeColor="text1"/>
              </w:rPr>
              <w:t xml:space="preserve">and follow up actions </w:t>
            </w:r>
            <w:r w:rsidRPr="002B0116">
              <w:rPr>
                <w:rFonts w:ascii="Arial" w:eastAsia="Calibri" w:hAnsi="Arial" w:cs="Arial"/>
                <w:bCs/>
                <w:iCs/>
                <w:color w:val="000000" w:themeColor="text1"/>
              </w:rPr>
              <w:t xml:space="preserve">by the school demonstrating </w:t>
            </w:r>
            <w:r w:rsidR="003A5516" w:rsidRPr="002B0116">
              <w:rPr>
                <w:rFonts w:ascii="Arial" w:eastAsia="Calibri" w:hAnsi="Arial" w:cs="Arial"/>
                <w:bCs/>
                <w:iCs/>
                <w:color w:val="000000" w:themeColor="text1"/>
              </w:rPr>
              <w:t>they were</w:t>
            </w:r>
            <w:r w:rsidRPr="002B0116">
              <w:rPr>
                <w:rFonts w:ascii="Arial" w:eastAsia="Calibri" w:hAnsi="Arial" w:cs="Arial"/>
                <w:bCs/>
                <w:iCs/>
                <w:color w:val="000000" w:themeColor="text1"/>
              </w:rPr>
              <w:t xml:space="preserve"> being utilised effectively. The </w:t>
            </w:r>
            <w:r w:rsidR="006227DF" w:rsidRPr="002B0116">
              <w:rPr>
                <w:rFonts w:ascii="Arial" w:eastAsia="Calibri" w:hAnsi="Arial" w:cs="Arial"/>
                <w:bCs/>
                <w:iCs/>
                <w:color w:val="000000" w:themeColor="text1"/>
              </w:rPr>
              <w:t>programme is subject to regular</w:t>
            </w:r>
            <w:r w:rsidRPr="002B0116">
              <w:rPr>
                <w:rFonts w:ascii="Arial" w:eastAsia="Calibri" w:hAnsi="Arial" w:cs="Arial"/>
                <w:bCs/>
                <w:iCs/>
                <w:color w:val="000000" w:themeColor="text1"/>
              </w:rPr>
              <w:t xml:space="preserve"> periodic reviews regarding internal process</w:t>
            </w:r>
            <w:r w:rsidR="003A5516" w:rsidRPr="002B0116">
              <w:rPr>
                <w:rFonts w:ascii="Arial" w:eastAsia="Calibri" w:hAnsi="Arial" w:cs="Arial"/>
                <w:bCs/>
                <w:iCs/>
                <w:color w:val="000000" w:themeColor="text1"/>
              </w:rPr>
              <w:t>es</w:t>
            </w:r>
            <w:r w:rsidRPr="002B0116">
              <w:rPr>
                <w:rFonts w:ascii="Arial" w:eastAsia="Calibri" w:hAnsi="Arial" w:cs="Arial"/>
                <w:bCs/>
                <w:iCs/>
                <w:color w:val="000000" w:themeColor="text1"/>
              </w:rPr>
              <w:t xml:space="preserve"> which </w:t>
            </w:r>
            <w:r w:rsidR="003A5516" w:rsidRPr="002B0116">
              <w:rPr>
                <w:rFonts w:ascii="Arial" w:eastAsia="Calibri" w:hAnsi="Arial" w:cs="Arial"/>
                <w:bCs/>
                <w:iCs/>
                <w:color w:val="000000" w:themeColor="text1"/>
              </w:rPr>
              <w:t>are discussed</w:t>
            </w:r>
            <w:r w:rsidRPr="002B0116">
              <w:rPr>
                <w:rFonts w:ascii="Arial" w:eastAsia="Calibri" w:hAnsi="Arial" w:cs="Arial"/>
                <w:bCs/>
                <w:iCs/>
                <w:color w:val="000000" w:themeColor="text1"/>
              </w:rPr>
              <w:t xml:space="preserve"> in both </w:t>
            </w:r>
            <w:r w:rsidR="00557BD1" w:rsidRPr="002B0116">
              <w:rPr>
                <w:rFonts w:ascii="Arial" w:eastAsia="Calibri" w:hAnsi="Arial" w:cs="Arial"/>
                <w:bCs/>
                <w:iCs/>
                <w:color w:val="000000" w:themeColor="text1"/>
              </w:rPr>
              <w:t xml:space="preserve">the </w:t>
            </w:r>
            <w:r w:rsidRPr="002B0116">
              <w:rPr>
                <w:rFonts w:ascii="Arial" w:eastAsia="Calibri" w:hAnsi="Arial" w:cs="Arial"/>
                <w:bCs/>
                <w:iCs/>
                <w:color w:val="000000" w:themeColor="text1"/>
              </w:rPr>
              <w:t xml:space="preserve">undergraduate programme committee and curriculum board. </w:t>
            </w:r>
            <w:r w:rsidR="003A5516" w:rsidRPr="002B0116">
              <w:rPr>
                <w:rFonts w:ascii="Arial" w:eastAsia="Calibri" w:hAnsi="Arial" w:cs="Arial"/>
                <w:bCs/>
                <w:iCs/>
                <w:color w:val="000000" w:themeColor="text1"/>
              </w:rPr>
              <w:t xml:space="preserve">The panel saw good use of patient feedback being utilised to enhance student learning and patient experience. </w:t>
            </w:r>
          </w:p>
          <w:p w14:paraId="6AD919E0" w14:textId="77777777" w:rsidR="00557BD1" w:rsidRPr="002B0116" w:rsidRDefault="00557BD1" w:rsidP="00A759EC">
            <w:pPr>
              <w:tabs>
                <w:tab w:val="left" w:pos="720"/>
                <w:tab w:val="left" w:pos="9214"/>
              </w:tabs>
              <w:ind w:right="34"/>
              <w:rPr>
                <w:rFonts w:ascii="Arial" w:eastAsia="Calibri" w:hAnsi="Arial" w:cs="Arial"/>
                <w:bCs/>
                <w:iCs/>
                <w:color w:val="000000" w:themeColor="text1"/>
              </w:rPr>
            </w:pPr>
          </w:p>
          <w:p w14:paraId="00FB5424" w14:textId="4218C131" w:rsidR="00DC4D14" w:rsidRPr="002B0116" w:rsidRDefault="003A5516" w:rsidP="00A759EC">
            <w:pPr>
              <w:tabs>
                <w:tab w:val="left" w:pos="720"/>
                <w:tab w:val="left" w:pos="9214"/>
              </w:tabs>
              <w:ind w:right="34"/>
              <w:rPr>
                <w:rFonts w:ascii="Arial" w:eastAsia="Calibri" w:hAnsi="Arial" w:cs="Arial"/>
                <w:bCs/>
                <w:iCs/>
                <w:color w:val="000000" w:themeColor="text1"/>
              </w:rPr>
            </w:pPr>
            <w:r w:rsidRPr="002B0116">
              <w:rPr>
                <w:rFonts w:ascii="Arial" w:eastAsia="Calibri" w:hAnsi="Arial" w:cs="Arial"/>
                <w:bCs/>
                <w:iCs/>
                <w:color w:val="000000" w:themeColor="text1"/>
              </w:rPr>
              <w:t xml:space="preserve">NHS mechanisms are used alongside the newly introduced </w:t>
            </w:r>
            <w:r w:rsidR="00E64347">
              <w:rPr>
                <w:rFonts w:ascii="Arial" w:eastAsia="Calibri" w:hAnsi="Arial" w:cs="Arial"/>
                <w:bCs/>
                <w:iCs/>
                <w:color w:val="000000" w:themeColor="text1"/>
              </w:rPr>
              <w:t xml:space="preserve">Patient Recorded Experience </w:t>
            </w:r>
            <w:r w:rsidR="00460F90">
              <w:rPr>
                <w:rFonts w:ascii="Arial" w:eastAsia="Calibri" w:hAnsi="Arial" w:cs="Arial"/>
                <w:bCs/>
                <w:iCs/>
                <w:color w:val="000000" w:themeColor="text1"/>
              </w:rPr>
              <w:t xml:space="preserve">Measures </w:t>
            </w:r>
            <w:r w:rsidR="00E64347">
              <w:rPr>
                <w:rFonts w:ascii="Arial" w:eastAsia="Calibri" w:hAnsi="Arial" w:cs="Arial"/>
                <w:bCs/>
                <w:iCs/>
                <w:color w:val="000000" w:themeColor="text1"/>
              </w:rPr>
              <w:t>(</w:t>
            </w:r>
            <w:r w:rsidRPr="002B0116">
              <w:rPr>
                <w:rFonts w:ascii="Arial" w:eastAsia="Calibri" w:hAnsi="Arial" w:cs="Arial"/>
                <w:bCs/>
                <w:iCs/>
                <w:color w:val="000000" w:themeColor="text1"/>
              </w:rPr>
              <w:t>PREM</w:t>
            </w:r>
            <w:r w:rsidR="00E64347">
              <w:rPr>
                <w:rFonts w:ascii="Arial" w:eastAsia="Calibri" w:hAnsi="Arial" w:cs="Arial"/>
                <w:bCs/>
                <w:iCs/>
                <w:color w:val="000000" w:themeColor="text1"/>
              </w:rPr>
              <w:t>s)</w:t>
            </w:r>
            <w:r w:rsidRPr="002B0116">
              <w:rPr>
                <w:rFonts w:ascii="Arial" w:eastAsia="Calibri" w:hAnsi="Arial" w:cs="Arial"/>
                <w:bCs/>
                <w:iCs/>
                <w:color w:val="000000" w:themeColor="text1"/>
              </w:rPr>
              <w:t xml:space="preserve"> system and students have an engagement requirement; students have access to terminals on desktops along with iPads so patients are able to give feedback. The school is continuing to work with students on increasing their confidence in asking for patient feedback. The panel </w:t>
            </w:r>
            <w:r w:rsidR="002B0116" w:rsidRPr="002B0116">
              <w:rPr>
                <w:rFonts w:ascii="Arial" w:eastAsia="Calibri" w:hAnsi="Arial" w:cs="Arial"/>
                <w:bCs/>
                <w:iCs/>
                <w:color w:val="000000" w:themeColor="text1"/>
              </w:rPr>
              <w:t>was</w:t>
            </w:r>
            <w:r w:rsidRPr="002B0116">
              <w:rPr>
                <w:rFonts w:ascii="Arial" w:eastAsia="Calibri" w:hAnsi="Arial" w:cs="Arial"/>
                <w:bCs/>
                <w:iCs/>
                <w:color w:val="000000" w:themeColor="text1"/>
              </w:rPr>
              <w:t xml:space="preserve"> satisfied this requirement has been met. </w:t>
            </w:r>
          </w:p>
          <w:p w14:paraId="6BC477E4" w14:textId="77777777" w:rsidR="00B52721" w:rsidRPr="00044A9E" w:rsidRDefault="00B52721" w:rsidP="00A759EC">
            <w:pPr>
              <w:tabs>
                <w:tab w:val="left" w:pos="720"/>
                <w:tab w:val="left" w:pos="9214"/>
              </w:tabs>
              <w:ind w:right="34"/>
              <w:rPr>
                <w:rFonts w:ascii="Arial" w:eastAsia="Calibri" w:hAnsi="Arial" w:cs="Arial"/>
                <w:b/>
                <w:color w:val="000000" w:themeColor="text1"/>
              </w:rPr>
            </w:pPr>
          </w:p>
          <w:p w14:paraId="0B16EF66" w14:textId="38699DD5" w:rsidR="00E2148E" w:rsidRDefault="00E2148E" w:rsidP="00A759EC">
            <w:pPr>
              <w:tabs>
                <w:tab w:val="left" w:pos="720"/>
                <w:tab w:val="left" w:pos="9214"/>
              </w:tabs>
              <w:ind w:right="34"/>
              <w:rPr>
                <w:rFonts w:ascii="Arial" w:eastAsia="Calibri" w:hAnsi="Arial" w:cs="Arial"/>
                <w:b/>
                <w:i/>
                <w:color w:val="000000" w:themeColor="text1"/>
              </w:rPr>
            </w:pPr>
            <w:r w:rsidRPr="00044A9E">
              <w:rPr>
                <w:rFonts w:ascii="Arial" w:eastAsia="Calibri" w:hAnsi="Arial" w:cs="Arial"/>
                <w:b/>
                <w:color w:val="000000" w:themeColor="text1"/>
              </w:rPr>
              <w:t>Requirement 12: The provider must have effective systems in place to quality assure placements where students deliver treatment to ensure that patient care and student assessment across all locations meets these Standards. The quality assurance systems should include the regular collection of student and patient feedback relating to placements</w:t>
            </w:r>
            <w:r w:rsidRPr="003A5516">
              <w:rPr>
                <w:rFonts w:ascii="Arial" w:eastAsia="Calibri" w:hAnsi="Arial" w:cs="Arial"/>
                <w:b/>
                <w:color w:val="000000" w:themeColor="text1"/>
              </w:rPr>
              <w:t xml:space="preserve">. </w:t>
            </w:r>
            <w:r w:rsidRPr="003A5516">
              <w:rPr>
                <w:rFonts w:ascii="Arial" w:eastAsia="Calibri" w:hAnsi="Arial" w:cs="Arial"/>
                <w:b/>
                <w:i/>
                <w:color w:val="000000" w:themeColor="text1"/>
              </w:rPr>
              <w:t xml:space="preserve">(Requirement </w:t>
            </w:r>
            <w:r w:rsidR="00527931" w:rsidRPr="003A5516">
              <w:rPr>
                <w:rFonts w:ascii="Arial" w:eastAsia="Calibri" w:hAnsi="Arial" w:cs="Arial"/>
                <w:b/>
                <w:i/>
                <w:color w:val="000000" w:themeColor="text1"/>
              </w:rPr>
              <w:t>Met</w:t>
            </w:r>
            <w:r w:rsidRPr="003A5516">
              <w:rPr>
                <w:rFonts w:ascii="Arial" w:eastAsia="Calibri" w:hAnsi="Arial" w:cs="Arial"/>
                <w:b/>
                <w:i/>
                <w:color w:val="000000" w:themeColor="text1"/>
              </w:rPr>
              <w:t>)</w:t>
            </w:r>
          </w:p>
          <w:p w14:paraId="0D980772" w14:textId="77777777" w:rsidR="003A5516" w:rsidRDefault="003A5516" w:rsidP="00A759EC">
            <w:pPr>
              <w:tabs>
                <w:tab w:val="left" w:pos="720"/>
                <w:tab w:val="left" w:pos="9214"/>
              </w:tabs>
              <w:ind w:right="34"/>
              <w:rPr>
                <w:rFonts w:ascii="Arial" w:eastAsia="Calibri" w:hAnsi="Arial" w:cs="Arial"/>
                <w:b/>
                <w:i/>
                <w:color w:val="000000" w:themeColor="text1"/>
              </w:rPr>
            </w:pPr>
          </w:p>
          <w:p w14:paraId="603AD475" w14:textId="77777777" w:rsidR="00E226D3" w:rsidRPr="00F125F7" w:rsidRDefault="00DB7473" w:rsidP="00A759EC">
            <w:pPr>
              <w:tabs>
                <w:tab w:val="left" w:pos="720"/>
                <w:tab w:val="left" w:pos="9214"/>
              </w:tabs>
              <w:ind w:right="34"/>
              <w:rPr>
                <w:rFonts w:ascii="Arial" w:eastAsia="Calibri" w:hAnsi="Arial" w:cs="Arial"/>
                <w:bCs/>
                <w:color w:val="000000" w:themeColor="text1"/>
              </w:rPr>
            </w:pPr>
            <w:r w:rsidRPr="00F125F7">
              <w:rPr>
                <w:rFonts w:ascii="Arial" w:eastAsia="Calibri" w:hAnsi="Arial" w:cs="Arial"/>
                <w:bCs/>
                <w:color w:val="000000" w:themeColor="text1"/>
              </w:rPr>
              <w:lastRenderedPageBreak/>
              <w:t xml:space="preserve">The panel </w:t>
            </w:r>
            <w:r w:rsidR="002B0116" w:rsidRPr="00F125F7">
              <w:rPr>
                <w:rFonts w:ascii="Arial" w:eastAsia="Calibri" w:hAnsi="Arial" w:cs="Arial"/>
                <w:bCs/>
                <w:color w:val="000000" w:themeColor="text1"/>
              </w:rPr>
              <w:t>was</w:t>
            </w:r>
            <w:r w:rsidRPr="00F125F7">
              <w:rPr>
                <w:rFonts w:ascii="Arial" w:eastAsia="Calibri" w:hAnsi="Arial" w:cs="Arial"/>
                <w:bCs/>
                <w:color w:val="000000" w:themeColor="text1"/>
              </w:rPr>
              <w:t xml:space="preserve"> encouraged by the improvements made by the school since the last inspection and this was echoed by placement staff</w:t>
            </w:r>
            <w:r w:rsidR="002B0116" w:rsidRPr="00F125F7">
              <w:rPr>
                <w:rFonts w:ascii="Arial" w:eastAsia="Calibri" w:hAnsi="Arial" w:cs="Arial"/>
                <w:bCs/>
                <w:color w:val="000000" w:themeColor="text1"/>
              </w:rPr>
              <w:t>,</w:t>
            </w:r>
            <w:r w:rsidRPr="00F125F7">
              <w:rPr>
                <w:rFonts w:ascii="Arial" w:eastAsia="Calibri" w:hAnsi="Arial" w:cs="Arial"/>
                <w:bCs/>
                <w:color w:val="000000" w:themeColor="text1"/>
              </w:rPr>
              <w:t xml:space="preserve"> who felt the transformation of the school’s approach to induction and quality assurance processes</w:t>
            </w:r>
            <w:r w:rsidR="00E226D3" w:rsidRPr="00F125F7">
              <w:rPr>
                <w:rFonts w:ascii="Arial" w:eastAsia="Calibri" w:hAnsi="Arial" w:cs="Arial"/>
                <w:bCs/>
                <w:color w:val="000000" w:themeColor="text1"/>
              </w:rPr>
              <w:t xml:space="preserve"> for placements</w:t>
            </w:r>
            <w:r w:rsidRPr="00F125F7">
              <w:rPr>
                <w:rFonts w:ascii="Arial" w:eastAsia="Calibri" w:hAnsi="Arial" w:cs="Arial"/>
                <w:bCs/>
                <w:color w:val="000000" w:themeColor="text1"/>
              </w:rPr>
              <w:t xml:space="preserve"> was very positive. </w:t>
            </w:r>
          </w:p>
          <w:p w14:paraId="2152A4E9" w14:textId="77777777" w:rsidR="00E226D3" w:rsidRPr="00F125F7" w:rsidRDefault="00E226D3" w:rsidP="00A759EC">
            <w:pPr>
              <w:tabs>
                <w:tab w:val="left" w:pos="720"/>
                <w:tab w:val="left" w:pos="9214"/>
              </w:tabs>
              <w:ind w:right="34"/>
              <w:rPr>
                <w:rFonts w:ascii="Arial" w:eastAsia="Calibri" w:hAnsi="Arial" w:cs="Arial"/>
                <w:bCs/>
                <w:color w:val="000000" w:themeColor="text1"/>
              </w:rPr>
            </w:pPr>
          </w:p>
          <w:p w14:paraId="055B4AEF" w14:textId="005EBD80" w:rsidR="003A5516" w:rsidRPr="00F125F7" w:rsidRDefault="00DB7473" w:rsidP="00A759EC">
            <w:pPr>
              <w:tabs>
                <w:tab w:val="left" w:pos="720"/>
                <w:tab w:val="left" w:pos="9214"/>
              </w:tabs>
              <w:ind w:right="34"/>
              <w:rPr>
                <w:rFonts w:ascii="Arial" w:eastAsia="Calibri" w:hAnsi="Arial" w:cs="Arial"/>
                <w:bCs/>
                <w:color w:val="000000" w:themeColor="text1"/>
              </w:rPr>
            </w:pPr>
            <w:r w:rsidRPr="00F125F7">
              <w:rPr>
                <w:rFonts w:ascii="Arial" w:eastAsia="Calibri" w:hAnsi="Arial" w:cs="Arial"/>
                <w:bCs/>
                <w:color w:val="000000" w:themeColor="text1"/>
              </w:rPr>
              <w:t xml:space="preserve">As stated in requirement 10, the school has </w:t>
            </w:r>
            <w:r w:rsidR="00572C24" w:rsidRPr="00F125F7">
              <w:rPr>
                <w:rFonts w:ascii="Arial" w:eastAsia="Calibri" w:hAnsi="Arial" w:cs="Arial"/>
                <w:bCs/>
                <w:color w:val="000000" w:themeColor="text1"/>
              </w:rPr>
              <w:t xml:space="preserve">a variety of ways </w:t>
            </w:r>
            <w:r w:rsidRPr="00F125F7">
              <w:rPr>
                <w:rFonts w:ascii="Arial" w:eastAsia="Calibri" w:hAnsi="Arial" w:cs="Arial"/>
                <w:bCs/>
                <w:color w:val="000000" w:themeColor="text1"/>
              </w:rPr>
              <w:t>to ensure that a consistent and standardised approach to assessment is in place across all placement</w:t>
            </w:r>
            <w:r w:rsidR="00E226D3" w:rsidRPr="00F125F7">
              <w:rPr>
                <w:rFonts w:ascii="Arial" w:eastAsia="Calibri" w:hAnsi="Arial" w:cs="Arial"/>
                <w:bCs/>
                <w:color w:val="000000" w:themeColor="text1"/>
              </w:rPr>
              <w:t>s</w:t>
            </w:r>
            <w:r w:rsidRPr="00F125F7">
              <w:rPr>
                <w:rFonts w:ascii="Arial" w:eastAsia="Calibri" w:hAnsi="Arial" w:cs="Arial"/>
                <w:bCs/>
                <w:color w:val="000000" w:themeColor="text1"/>
              </w:rPr>
              <w:t xml:space="preserve"> in line with </w:t>
            </w:r>
            <w:r w:rsidR="00572C24" w:rsidRPr="00F125F7">
              <w:rPr>
                <w:rFonts w:ascii="Arial" w:eastAsia="Calibri" w:hAnsi="Arial" w:cs="Arial"/>
                <w:bCs/>
                <w:color w:val="000000" w:themeColor="text1"/>
              </w:rPr>
              <w:t>onsite</w:t>
            </w:r>
            <w:r w:rsidRPr="00F125F7">
              <w:rPr>
                <w:rFonts w:ascii="Arial" w:eastAsia="Calibri" w:hAnsi="Arial" w:cs="Arial"/>
                <w:bCs/>
                <w:color w:val="000000" w:themeColor="text1"/>
              </w:rPr>
              <w:t xml:space="preserve"> provision. Placement</w:t>
            </w:r>
            <w:r w:rsidR="00546A08">
              <w:rPr>
                <w:rFonts w:ascii="Arial" w:eastAsia="Calibri" w:hAnsi="Arial" w:cs="Arial"/>
                <w:bCs/>
                <w:color w:val="000000" w:themeColor="text1"/>
              </w:rPr>
              <w:t xml:space="preserve"> </w:t>
            </w:r>
            <w:r w:rsidRPr="00F125F7">
              <w:rPr>
                <w:rFonts w:ascii="Arial" w:eastAsia="Calibri" w:hAnsi="Arial" w:cs="Arial"/>
                <w:bCs/>
                <w:color w:val="000000" w:themeColor="text1"/>
              </w:rPr>
              <w:t>s</w:t>
            </w:r>
            <w:r w:rsidR="00546A08">
              <w:rPr>
                <w:rFonts w:ascii="Arial" w:eastAsia="Calibri" w:hAnsi="Arial" w:cs="Arial"/>
                <w:bCs/>
                <w:color w:val="000000" w:themeColor="text1"/>
              </w:rPr>
              <w:t>taff</w:t>
            </w:r>
            <w:r w:rsidRPr="00F125F7">
              <w:rPr>
                <w:rFonts w:ascii="Arial" w:eastAsia="Calibri" w:hAnsi="Arial" w:cs="Arial"/>
                <w:bCs/>
                <w:color w:val="000000" w:themeColor="text1"/>
              </w:rPr>
              <w:t xml:space="preserve"> meet </w:t>
            </w:r>
            <w:r w:rsidR="00E226D3" w:rsidRPr="00F125F7">
              <w:rPr>
                <w:rFonts w:ascii="Arial" w:eastAsia="Calibri" w:hAnsi="Arial" w:cs="Arial"/>
                <w:bCs/>
                <w:color w:val="000000" w:themeColor="text1"/>
              </w:rPr>
              <w:t>regularly</w:t>
            </w:r>
            <w:r w:rsidRPr="00F125F7">
              <w:rPr>
                <w:rFonts w:ascii="Arial" w:eastAsia="Calibri" w:hAnsi="Arial" w:cs="Arial"/>
                <w:bCs/>
                <w:color w:val="000000" w:themeColor="text1"/>
              </w:rPr>
              <w:t xml:space="preserve"> with the school to discuss feedback and review the use of LiftUpp data – it was clear to the panel that the expectations of placement</w:t>
            </w:r>
            <w:r w:rsidR="00305AA8">
              <w:rPr>
                <w:rFonts w:ascii="Arial" w:eastAsia="Calibri" w:hAnsi="Arial" w:cs="Arial"/>
                <w:bCs/>
                <w:color w:val="000000" w:themeColor="text1"/>
              </w:rPr>
              <w:t xml:space="preserve"> staff</w:t>
            </w:r>
            <w:r w:rsidRPr="00F125F7">
              <w:rPr>
                <w:rFonts w:ascii="Arial" w:eastAsia="Calibri" w:hAnsi="Arial" w:cs="Arial"/>
                <w:bCs/>
                <w:color w:val="000000" w:themeColor="text1"/>
              </w:rPr>
              <w:t xml:space="preserve"> w</w:t>
            </w:r>
            <w:r w:rsidR="000B216B">
              <w:rPr>
                <w:rFonts w:ascii="Arial" w:eastAsia="Calibri" w:hAnsi="Arial" w:cs="Arial"/>
                <w:bCs/>
                <w:color w:val="000000" w:themeColor="text1"/>
              </w:rPr>
              <w:t>ere</w:t>
            </w:r>
            <w:r w:rsidRPr="00F125F7">
              <w:rPr>
                <w:rFonts w:ascii="Arial" w:eastAsia="Calibri" w:hAnsi="Arial" w:cs="Arial"/>
                <w:bCs/>
                <w:color w:val="000000" w:themeColor="text1"/>
              </w:rPr>
              <w:t xml:space="preserve"> the same as university staff.   </w:t>
            </w:r>
          </w:p>
          <w:p w14:paraId="1061E37F" w14:textId="57643AFF" w:rsidR="00906DD0" w:rsidRPr="00044A9E" w:rsidRDefault="00906DD0" w:rsidP="009201CA">
            <w:pPr>
              <w:tabs>
                <w:tab w:val="left" w:pos="9214"/>
              </w:tabs>
              <w:ind w:right="34"/>
              <w:rPr>
                <w:rFonts w:ascii="Arial" w:eastAsia="Calibri" w:hAnsi="Arial" w:cs="Arial"/>
                <w:color w:val="000000" w:themeColor="text1"/>
              </w:rPr>
            </w:pPr>
          </w:p>
        </w:tc>
      </w:tr>
    </w:tbl>
    <w:p w14:paraId="28F3CD50" w14:textId="77777777" w:rsidR="00E2148E" w:rsidRPr="00044A9E" w:rsidRDefault="00E2148E" w:rsidP="00E2148E">
      <w:pPr>
        <w:spacing w:after="0" w:line="240" w:lineRule="auto"/>
        <w:rPr>
          <w:rFonts w:ascii="Arial" w:hAnsi="Arial" w:cs="Arial"/>
        </w:rPr>
      </w:pPr>
    </w:p>
    <w:tbl>
      <w:tblPr>
        <w:tblStyle w:val="TableGrid"/>
        <w:tblW w:w="9464" w:type="dxa"/>
        <w:tblLook w:val="04A0" w:firstRow="1" w:lastRow="0" w:firstColumn="1" w:lastColumn="0" w:noHBand="0" w:noVBand="1"/>
      </w:tblPr>
      <w:tblGrid>
        <w:gridCol w:w="9464"/>
      </w:tblGrid>
      <w:tr w:rsidR="00E2148E" w:rsidRPr="00044A9E" w14:paraId="0977AE07" w14:textId="77777777" w:rsidTr="00A759EC">
        <w:tc>
          <w:tcPr>
            <w:tcW w:w="9464" w:type="dxa"/>
            <w:shd w:val="clear" w:color="auto" w:fill="2F5496" w:themeFill="accent1" w:themeFillShade="BF"/>
          </w:tcPr>
          <w:p w14:paraId="3A93300A" w14:textId="38C1F5D7" w:rsidR="00E2148E" w:rsidRPr="00044A9E" w:rsidRDefault="00E2148E" w:rsidP="00A759EC">
            <w:pPr>
              <w:rPr>
                <w:rFonts w:ascii="Arial" w:hAnsi="Arial" w:cs="Arial"/>
                <w:b/>
                <w:color w:val="FFFFFF" w:themeColor="background1"/>
              </w:rPr>
            </w:pPr>
            <w:r w:rsidRPr="00044A9E">
              <w:rPr>
                <w:rFonts w:ascii="Arial" w:hAnsi="Arial" w:cs="Arial"/>
              </w:rPr>
              <w:br w:type="page"/>
            </w:r>
            <w:r w:rsidRPr="00044A9E">
              <w:rPr>
                <w:rFonts w:ascii="Arial" w:hAnsi="Arial" w:cs="Arial"/>
                <w:b/>
                <w:color w:val="FFFFFF" w:themeColor="background1"/>
              </w:rPr>
              <w:t>Standard 3–  Student assessment</w:t>
            </w:r>
          </w:p>
          <w:p w14:paraId="3BA6CF9E" w14:textId="77777777" w:rsidR="00E2148E" w:rsidRPr="00044A9E" w:rsidRDefault="00E2148E" w:rsidP="00A759EC">
            <w:pPr>
              <w:rPr>
                <w:rFonts w:ascii="Arial" w:hAnsi="Arial" w:cs="Arial"/>
                <w:b/>
                <w:color w:val="FFFFFF" w:themeColor="background1"/>
              </w:rPr>
            </w:pPr>
            <w:r w:rsidRPr="00044A9E">
              <w:rPr>
                <w:rFonts w:ascii="Arial" w:eastAsia="Calibri" w:hAnsi="Arial" w:cs="Arial"/>
                <w:b/>
                <w:color w:val="FFFFFF" w:themeColor="background1"/>
              </w:rPr>
              <w:t>Assessment must be reliable and valid. The choice of assessment method must be appropriate to demonstrate achievement of the GDC learning outcomes. Assessors must be fit to perform the assessment task.</w:t>
            </w:r>
          </w:p>
        </w:tc>
      </w:tr>
      <w:tr w:rsidR="00E2148E" w:rsidRPr="00044A9E" w14:paraId="61F97003" w14:textId="77777777" w:rsidTr="00A759EC">
        <w:trPr>
          <w:trHeight w:val="1266"/>
        </w:trPr>
        <w:tc>
          <w:tcPr>
            <w:tcW w:w="9464" w:type="dxa"/>
          </w:tcPr>
          <w:p w14:paraId="51B375BD" w14:textId="77777777" w:rsidR="00E2148E" w:rsidRPr="00044A9E" w:rsidRDefault="00E2148E" w:rsidP="00A759EC">
            <w:pPr>
              <w:tabs>
                <w:tab w:val="left" w:pos="356"/>
                <w:tab w:val="left" w:pos="9248"/>
              </w:tabs>
              <w:rPr>
                <w:rFonts w:ascii="Arial" w:eastAsia="Calibri" w:hAnsi="Arial" w:cs="Arial"/>
                <w:b/>
                <w:color w:val="000000" w:themeColor="text1"/>
              </w:rPr>
            </w:pPr>
          </w:p>
          <w:p w14:paraId="6CB8C45A" w14:textId="6136D7F8" w:rsidR="00E2148E" w:rsidRDefault="00E2148E" w:rsidP="00A759EC">
            <w:pPr>
              <w:tabs>
                <w:tab w:val="left" w:pos="356"/>
                <w:tab w:val="left" w:pos="9248"/>
              </w:tabs>
              <w:rPr>
                <w:rFonts w:ascii="Arial" w:eastAsia="Calibri" w:hAnsi="Arial" w:cs="Arial"/>
                <w:b/>
                <w:i/>
                <w:color w:val="000000" w:themeColor="text1"/>
              </w:rPr>
            </w:pPr>
            <w:r w:rsidRPr="00044A9E">
              <w:rPr>
                <w:rFonts w:ascii="Arial" w:eastAsia="Calibri" w:hAnsi="Arial" w:cs="Arial"/>
                <w:b/>
                <w:color w:val="000000" w:themeColor="text1"/>
              </w:rPr>
              <w:t>Requirement 13: To 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Pr="0093496B">
              <w:rPr>
                <w:rFonts w:ascii="Arial" w:eastAsia="Calibri" w:hAnsi="Arial" w:cs="Arial"/>
                <w:b/>
                <w:color w:val="000000" w:themeColor="text1"/>
              </w:rPr>
              <w:t>.</w:t>
            </w:r>
            <w:r w:rsidRPr="0093496B">
              <w:rPr>
                <w:rFonts w:ascii="Arial" w:eastAsia="Calibri" w:hAnsi="Arial" w:cs="Arial"/>
                <w:b/>
                <w:i/>
                <w:color w:val="000000" w:themeColor="text1"/>
              </w:rPr>
              <w:t xml:space="preserve"> </w:t>
            </w:r>
            <w:r w:rsidRPr="0093496B">
              <w:rPr>
                <w:rFonts w:ascii="Arial" w:hAnsi="Arial" w:cs="Arial"/>
                <w:b/>
                <w:i/>
              </w:rPr>
              <w:t>(Requirement</w:t>
            </w:r>
            <w:r w:rsidR="00026A2F" w:rsidRPr="0093496B">
              <w:rPr>
                <w:rFonts w:ascii="Arial" w:hAnsi="Arial" w:cs="Arial"/>
                <w:b/>
                <w:i/>
              </w:rPr>
              <w:t xml:space="preserve"> </w:t>
            </w:r>
            <w:r w:rsidR="009201CA" w:rsidRPr="0093496B">
              <w:rPr>
                <w:rFonts w:ascii="Arial" w:eastAsia="Calibri" w:hAnsi="Arial" w:cs="Arial"/>
                <w:b/>
                <w:i/>
                <w:color w:val="000000" w:themeColor="text1"/>
              </w:rPr>
              <w:t>Met</w:t>
            </w:r>
            <w:r w:rsidR="009F7795" w:rsidRPr="0093496B">
              <w:rPr>
                <w:rFonts w:ascii="Arial" w:eastAsia="Calibri" w:hAnsi="Arial" w:cs="Arial"/>
                <w:b/>
                <w:i/>
                <w:color w:val="000000" w:themeColor="text1"/>
              </w:rPr>
              <w:t>)</w:t>
            </w:r>
          </w:p>
          <w:p w14:paraId="21FF1200" w14:textId="77777777" w:rsidR="00C173C9" w:rsidRDefault="00C173C9" w:rsidP="00A759EC">
            <w:pPr>
              <w:tabs>
                <w:tab w:val="left" w:pos="356"/>
                <w:tab w:val="left" w:pos="9248"/>
              </w:tabs>
              <w:rPr>
                <w:rFonts w:ascii="Arial" w:eastAsia="Calibri" w:hAnsi="Arial" w:cs="Arial"/>
                <w:b/>
                <w:i/>
                <w:color w:val="000000" w:themeColor="text1"/>
              </w:rPr>
            </w:pPr>
          </w:p>
          <w:p w14:paraId="271C3286" w14:textId="7B97EF68" w:rsidR="00792534" w:rsidRDefault="00C173C9" w:rsidP="00A759EC">
            <w:pPr>
              <w:tabs>
                <w:tab w:val="left" w:pos="356"/>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In advance of the inspection the panel was provided with </w:t>
            </w:r>
            <w:r w:rsidR="00E62D34">
              <w:rPr>
                <w:rFonts w:ascii="Arial" w:eastAsia="Calibri" w:hAnsi="Arial" w:cs="Arial"/>
                <w:bCs/>
                <w:iCs/>
                <w:color w:val="000000" w:themeColor="text1"/>
              </w:rPr>
              <w:t>clear mapping documents to demonstrate how</w:t>
            </w:r>
            <w:r w:rsidR="00AF1E8F">
              <w:rPr>
                <w:rFonts w:ascii="Arial" w:eastAsia="Calibri" w:hAnsi="Arial" w:cs="Arial"/>
                <w:bCs/>
                <w:iCs/>
                <w:color w:val="000000" w:themeColor="text1"/>
              </w:rPr>
              <w:t xml:space="preserve"> students</w:t>
            </w:r>
            <w:r w:rsidR="007066A3">
              <w:rPr>
                <w:rFonts w:ascii="Arial" w:eastAsia="Calibri" w:hAnsi="Arial" w:cs="Arial"/>
                <w:bCs/>
                <w:iCs/>
                <w:color w:val="000000" w:themeColor="text1"/>
              </w:rPr>
              <w:t xml:space="preserve">, on completion of the programme, </w:t>
            </w:r>
            <w:r w:rsidR="00DE2CED">
              <w:rPr>
                <w:rFonts w:ascii="Arial" w:eastAsia="Calibri" w:hAnsi="Arial" w:cs="Arial"/>
                <w:bCs/>
                <w:iCs/>
                <w:color w:val="000000" w:themeColor="text1"/>
              </w:rPr>
              <w:t>wil</w:t>
            </w:r>
            <w:r w:rsidR="00162110">
              <w:rPr>
                <w:rFonts w:ascii="Arial" w:eastAsia="Calibri" w:hAnsi="Arial" w:cs="Arial"/>
                <w:bCs/>
                <w:iCs/>
                <w:color w:val="000000" w:themeColor="text1"/>
              </w:rPr>
              <w:t xml:space="preserve">l </w:t>
            </w:r>
            <w:r w:rsidR="00E33B74">
              <w:rPr>
                <w:rFonts w:ascii="Arial" w:eastAsia="Calibri" w:hAnsi="Arial" w:cs="Arial"/>
                <w:bCs/>
                <w:iCs/>
                <w:color w:val="000000" w:themeColor="text1"/>
              </w:rPr>
              <w:t xml:space="preserve">have had the opportunity to cover the full range of learning outcomes and </w:t>
            </w:r>
            <w:r w:rsidR="0075097F">
              <w:rPr>
                <w:rFonts w:ascii="Arial" w:eastAsia="Calibri" w:hAnsi="Arial" w:cs="Arial"/>
                <w:bCs/>
                <w:iCs/>
                <w:color w:val="000000" w:themeColor="text1"/>
              </w:rPr>
              <w:t xml:space="preserve">are fit to practise at the level of a safe beginner. </w:t>
            </w:r>
          </w:p>
          <w:p w14:paraId="28D82D46" w14:textId="77777777" w:rsidR="00792534" w:rsidRDefault="00792534" w:rsidP="00A759EC">
            <w:pPr>
              <w:tabs>
                <w:tab w:val="left" w:pos="356"/>
                <w:tab w:val="left" w:pos="9248"/>
              </w:tabs>
              <w:rPr>
                <w:rFonts w:ascii="Arial" w:eastAsia="Calibri" w:hAnsi="Arial" w:cs="Arial"/>
                <w:bCs/>
                <w:iCs/>
                <w:color w:val="000000" w:themeColor="text1"/>
              </w:rPr>
            </w:pPr>
          </w:p>
          <w:p w14:paraId="439AA370" w14:textId="3828AC0A" w:rsidR="00C173C9" w:rsidRDefault="008E60A5" w:rsidP="00A759EC">
            <w:pPr>
              <w:tabs>
                <w:tab w:val="left" w:pos="356"/>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The School uses LiftUpp </w:t>
            </w:r>
            <w:r w:rsidR="002C5184">
              <w:rPr>
                <w:rFonts w:ascii="Arial" w:eastAsia="Calibri" w:hAnsi="Arial" w:cs="Arial"/>
                <w:bCs/>
                <w:iCs/>
                <w:color w:val="000000" w:themeColor="text1"/>
              </w:rPr>
              <w:t>to manage the assessment of learning outcomes</w:t>
            </w:r>
            <w:r w:rsidR="00716B3E">
              <w:rPr>
                <w:rFonts w:ascii="Arial" w:eastAsia="Calibri" w:hAnsi="Arial" w:cs="Arial"/>
                <w:bCs/>
                <w:iCs/>
                <w:color w:val="000000" w:themeColor="text1"/>
              </w:rPr>
              <w:t>. Within LiftUpp</w:t>
            </w:r>
            <w:r w:rsidR="006505BC">
              <w:rPr>
                <w:rFonts w:ascii="Arial" w:eastAsia="Calibri" w:hAnsi="Arial" w:cs="Arial"/>
                <w:bCs/>
                <w:iCs/>
                <w:color w:val="000000" w:themeColor="text1"/>
              </w:rPr>
              <w:t xml:space="preserve"> there is a detailed map that relate</w:t>
            </w:r>
            <w:r w:rsidR="00162110">
              <w:rPr>
                <w:rFonts w:ascii="Arial" w:eastAsia="Calibri" w:hAnsi="Arial" w:cs="Arial"/>
                <w:bCs/>
                <w:iCs/>
                <w:color w:val="000000" w:themeColor="text1"/>
              </w:rPr>
              <w:t>s</w:t>
            </w:r>
            <w:r w:rsidR="006505BC">
              <w:rPr>
                <w:rFonts w:ascii="Arial" w:eastAsia="Calibri" w:hAnsi="Arial" w:cs="Arial"/>
                <w:bCs/>
                <w:iCs/>
                <w:color w:val="000000" w:themeColor="text1"/>
              </w:rPr>
              <w:t xml:space="preserve"> </w:t>
            </w:r>
            <w:r w:rsidR="00660481">
              <w:rPr>
                <w:rFonts w:ascii="Arial" w:eastAsia="Calibri" w:hAnsi="Arial" w:cs="Arial"/>
                <w:bCs/>
                <w:iCs/>
                <w:color w:val="000000" w:themeColor="text1"/>
              </w:rPr>
              <w:t>the curriculum milestones to Preparing for Practice outcome</w:t>
            </w:r>
            <w:r w:rsidR="008A29C8">
              <w:rPr>
                <w:rFonts w:ascii="Arial" w:eastAsia="Calibri" w:hAnsi="Arial" w:cs="Arial"/>
                <w:bCs/>
                <w:iCs/>
                <w:color w:val="000000" w:themeColor="text1"/>
              </w:rPr>
              <w:t xml:space="preserve">s. In addition to this, the teaching and assessment elements of the programme are mapped to the milestones, </w:t>
            </w:r>
            <w:r w:rsidR="00DA6B4F">
              <w:rPr>
                <w:rFonts w:ascii="Arial" w:eastAsia="Calibri" w:hAnsi="Arial" w:cs="Arial"/>
                <w:bCs/>
                <w:iCs/>
                <w:color w:val="000000" w:themeColor="text1"/>
              </w:rPr>
              <w:t xml:space="preserve">which ensures they can also be linked back to the Preparing for Practice outcomes. </w:t>
            </w:r>
          </w:p>
          <w:p w14:paraId="288F2997" w14:textId="77777777" w:rsidR="00DA6B4F" w:rsidRDefault="00DA6B4F" w:rsidP="00A759EC">
            <w:pPr>
              <w:tabs>
                <w:tab w:val="left" w:pos="356"/>
                <w:tab w:val="left" w:pos="9248"/>
              </w:tabs>
              <w:rPr>
                <w:rFonts w:ascii="Arial" w:eastAsia="Calibri" w:hAnsi="Arial" w:cs="Arial"/>
                <w:bCs/>
                <w:iCs/>
                <w:color w:val="000000" w:themeColor="text1"/>
              </w:rPr>
            </w:pPr>
          </w:p>
          <w:p w14:paraId="43F87D2F" w14:textId="26792A3D" w:rsidR="009441DF" w:rsidRDefault="003E333F" w:rsidP="00A759EC">
            <w:pPr>
              <w:tabs>
                <w:tab w:val="left" w:pos="356"/>
                <w:tab w:val="left" w:pos="9248"/>
              </w:tabs>
              <w:rPr>
                <w:rFonts w:ascii="Arial" w:eastAsia="Calibri" w:hAnsi="Arial" w:cs="Arial"/>
                <w:bCs/>
                <w:iCs/>
                <w:color w:val="000000" w:themeColor="text1"/>
              </w:rPr>
            </w:pPr>
            <w:r>
              <w:rPr>
                <w:rFonts w:ascii="Arial" w:eastAsia="Calibri" w:hAnsi="Arial" w:cs="Arial"/>
                <w:bCs/>
                <w:iCs/>
                <w:color w:val="000000" w:themeColor="text1"/>
              </w:rPr>
              <w:t>The panel was informed that in order to gain assurance that</w:t>
            </w:r>
            <w:r w:rsidR="00D3144B">
              <w:rPr>
                <w:rFonts w:ascii="Arial" w:eastAsia="Calibri" w:hAnsi="Arial" w:cs="Arial"/>
                <w:bCs/>
                <w:iCs/>
                <w:color w:val="000000" w:themeColor="text1"/>
              </w:rPr>
              <w:t xml:space="preserve"> student</w:t>
            </w:r>
            <w:r w:rsidR="00803C61">
              <w:rPr>
                <w:rFonts w:ascii="Arial" w:eastAsia="Calibri" w:hAnsi="Arial" w:cs="Arial"/>
                <w:bCs/>
                <w:iCs/>
                <w:color w:val="000000" w:themeColor="text1"/>
              </w:rPr>
              <w:t xml:space="preserve">s would be graduating as safe beginners, there are a range of mechanisms in place to </w:t>
            </w:r>
            <w:r w:rsidR="00831803">
              <w:rPr>
                <w:rFonts w:ascii="Arial" w:eastAsia="Calibri" w:hAnsi="Arial" w:cs="Arial"/>
                <w:bCs/>
                <w:iCs/>
                <w:color w:val="000000" w:themeColor="text1"/>
              </w:rPr>
              <w:t xml:space="preserve">longitudinally </w:t>
            </w:r>
            <w:r w:rsidR="00A16527">
              <w:rPr>
                <w:rFonts w:ascii="Arial" w:eastAsia="Calibri" w:hAnsi="Arial" w:cs="Arial"/>
                <w:bCs/>
                <w:iCs/>
                <w:color w:val="000000" w:themeColor="text1"/>
              </w:rPr>
              <w:t xml:space="preserve">monitor and review </w:t>
            </w:r>
            <w:r w:rsidR="00C54D71">
              <w:rPr>
                <w:rFonts w:ascii="Arial" w:eastAsia="Calibri" w:hAnsi="Arial" w:cs="Arial"/>
                <w:bCs/>
                <w:iCs/>
                <w:color w:val="000000" w:themeColor="text1"/>
              </w:rPr>
              <w:t xml:space="preserve">student development. </w:t>
            </w:r>
            <w:r w:rsidR="006D449F">
              <w:rPr>
                <w:rFonts w:ascii="Arial" w:eastAsia="Calibri" w:hAnsi="Arial" w:cs="Arial"/>
                <w:bCs/>
                <w:iCs/>
                <w:color w:val="000000" w:themeColor="text1"/>
              </w:rPr>
              <w:t>This includes the Clinical Development Monitoring Panel (CDMP)</w:t>
            </w:r>
            <w:r w:rsidR="009441DF">
              <w:rPr>
                <w:rFonts w:ascii="Arial" w:eastAsia="Calibri" w:hAnsi="Arial" w:cs="Arial"/>
                <w:bCs/>
                <w:iCs/>
                <w:color w:val="000000" w:themeColor="text1"/>
              </w:rPr>
              <w:t xml:space="preserve"> and the Clinical Progress Panel (CPP). </w:t>
            </w:r>
          </w:p>
          <w:p w14:paraId="7B657303" w14:textId="77777777" w:rsidR="009441DF" w:rsidRDefault="009441DF" w:rsidP="00A759EC">
            <w:pPr>
              <w:tabs>
                <w:tab w:val="left" w:pos="356"/>
                <w:tab w:val="left" w:pos="9248"/>
              </w:tabs>
              <w:rPr>
                <w:rFonts w:ascii="Arial" w:eastAsia="Calibri" w:hAnsi="Arial" w:cs="Arial"/>
                <w:bCs/>
                <w:iCs/>
                <w:color w:val="000000" w:themeColor="text1"/>
              </w:rPr>
            </w:pPr>
          </w:p>
          <w:p w14:paraId="5951FE2D" w14:textId="677F1899" w:rsidR="00DA6B4F" w:rsidRDefault="009441DF" w:rsidP="00A759EC">
            <w:pPr>
              <w:tabs>
                <w:tab w:val="left" w:pos="356"/>
                <w:tab w:val="left" w:pos="9248"/>
              </w:tabs>
              <w:rPr>
                <w:rFonts w:ascii="Arial" w:eastAsia="Calibri" w:hAnsi="Arial" w:cs="Arial"/>
                <w:bCs/>
                <w:iCs/>
                <w:color w:val="000000" w:themeColor="text1"/>
              </w:rPr>
            </w:pPr>
            <w:r>
              <w:rPr>
                <w:rFonts w:ascii="Arial" w:eastAsia="Calibri" w:hAnsi="Arial" w:cs="Arial"/>
                <w:bCs/>
                <w:iCs/>
                <w:color w:val="000000" w:themeColor="text1"/>
              </w:rPr>
              <w:t>The CDMP</w:t>
            </w:r>
            <w:r w:rsidR="00F25841">
              <w:rPr>
                <w:rFonts w:ascii="Arial" w:eastAsia="Calibri" w:hAnsi="Arial" w:cs="Arial"/>
                <w:bCs/>
                <w:iCs/>
                <w:color w:val="000000" w:themeColor="text1"/>
              </w:rPr>
              <w:t xml:space="preserve"> is </w:t>
            </w:r>
            <w:r w:rsidR="00C96C95">
              <w:rPr>
                <w:rFonts w:ascii="Arial" w:eastAsia="Calibri" w:hAnsi="Arial" w:cs="Arial"/>
                <w:bCs/>
                <w:iCs/>
                <w:color w:val="000000" w:themeColor="text1"/>
              </w:rPr>
              <w:t xml:space="preserve">chaired by the Vice-Dean for Student Experience and attended by senior programme staff members. The CDMP </w:t>
            </w:r>
            <w:r w:rsidR="006A1097">
              <w:rPr>
                <w:rFonts w:ascii="Arial" w:eastAsia="Calibri" w:hAnsi="Arial" w:cs="Arial"/>
                <w:bCs/>
                <w:iCs/>
                <w:color w:val="000000" w:themeColor="text1"/>
              </w:rPr>
              <w:t>works alongside the Academic Advisor system</w:t>
            </w:r>
            <w:r w:rsidR="009C51AA">
              <w:rPr>
                <w:rFonts w:ascii="Arial" w:eastAsia="Calibri" w:hAnsi="Arial" w:cs="Arial"/>
                <w:bCs/>
                <w:iCs/>
                <w:color w:val="000000" w:themeColor="text1"/>
              </w:rPr>
              <w:t xml:space="preserve"> and provides </w:t>
            </w:r>
            <w:r w:rsidR="0038102F">
              <w:rPr>
                <w:rFonts w:ascii="Arial" w:eastAsia="Calibri" w:hAnsi="Arial" w:cs="Arial"/>
                <w:bCs/>
                <w:iCs/>
                <w:color w:val="000000" w:themeColor="text1"/>
              </w:rPr>
              <w:t xml:space="preserve">focussed </w:t>
            </w:r>
            <w:r w:rsidR="009C51AA">
              <w:rPr>
                <w:rFonts w:ascii="Arial" w:eastAsia="Calibri" w:hAnsi="Arial" w:cs="Arial"/>
                <w:bCs/>
                <w:iCs/>
                <w:color w:val="000000" w:themeColor="text1"/>
              </w:rPr>
              <w:t xml:space="preserve">feedback for student self-reflection regarding their progress. </w:t>
            </w:r>
            <w:r w:rsidR="00903A3D">
              <w:rPr>
                <w:rFonts w:ascii="Arial" w:eastAsia="Calibri" w:hAnsi="Arial" w:cs="Arial"/>
                <w:bCs/>
                <w:iCs/>
                <w:color w:val="000000" w:themeColor="text1"/>
              </w:rPr>
              <w:t xml:space="preserve">The Academic Advisor meetings provide students with a supportive environment </w:t>
            </w:r>
            <w:r w:rsidR="009F0B67">
              <w:rPr>
                <w:rFonts w:ascii="Arial" w:eastAsia="Calibri" w:hAnsi="Arial" w:cs="Arial"/>
                <w:bCs/>
                <w:iCs/>
                <w:color w:val="000000" w:themeColor="text1"/>
              </w:rPr>
              <w:t xml:space="preserve">for them to </w:t>
            </w:r>
            <w:r w:rsidR="0038102F">
              <w:rPr>
                <w:rFonts w:ascii="Arial" w:eastAsia="Calibri" w:hAnsi="Arial" w:cs="Arial"/>
                <w:bCs/>
                <w:iCs/>
                <w:color w:val="000000" w:themeColor="text1"/>
              </w:rPr>
              <w:t xml:space="preserve">identify and </w:t>
            </w:r>
            <w:r w:rsidR="0086246F">
              <w:rPr>
                <w:rFonts w:ascii="Arial" w:eastAsia="Calibri" w:hAnsi="Arial" w:cs="Arial"/>
                <w:bCs/>
                <w:iCs/>
                <w:color w:val="000000" w:themeColor="text1"/>
              </w:rPr>
              <w:t>plan how</w:t>
            </w:r>
            <w:r w:rsidR="009F0B67">
              <w:rPr>
                <w:rFonts w:ascii="Arial" w:eastAsia="Calibri" w:hAnsi="Arial" w:cs="Arial"/>
                <w:bCs/>
                <w:iCs/>
                <w:color w:val="000000" w:themeColor="text1"/>
              </w:rPr>
              <w:t xml:space="preserve"> any areas for further development</w:t>
            </w:r>
            <w:r w:rsidR="0086246F">
              <w:rPr>
                <w:rFonts w:ascii="Arial" w:eastAsia="Calibri" w:hAnsi="Arial" w:cs="Arial"/>
                <w:bCs/>
                <w:iCs/>
                <w:color w:val="000000" w:themeColor="text1"/>
              </w:rPr>
              <w:t xml:space="preserve"> will be addressed</w:t>
            </w:r>
            <w:r w:rsidR="009F0B67">
              <w:rPr>
                <w:rFonts w:ascii="Arial" w:eastAsia="Calibri" w:hAnsi="Arial" w:cs="Arial"/>
                <w:bCs/>
                <w:iCs/>
                <w:color w:val="000000" w:themeColor="text1"/>
              </w:rPr>
              <w:t>. CDMP meetings</w:t>
            </w:r>
            <w:r w:rsidR="000A1F6C">
              <w:rPr>
                <w:rFonts w:ascii="Arial" w:eastAsia="Calibri" w:hAnsi="Arial" w:cs="Arial"/>
                <w:bCs/>
                <w:iCs/>
                <w:color w:val="000000" w:themeColor="text1"/>
              </w:rPr>
              <w:t xml:space="preserve"> take place several times throughout the year</w:t>
            </w:r>
            <w:r w:rsidR="00F95B1E">
              <w:rPr>
                <w:rFonts w:ascii="Arial" w:eastAsia="Calibri" w:hAnsi="Arial" w:cs="Arial"/>
                <w:bCs/>
                <w:iCs/>
                <w:color w:val="000000" w:themeColor="text1"/>
              </w:rPr>
              <w:t xml:space="preserve"> and are used to ensure a meaningful amount of data has been collected </w:t>
            </w:r>
            <w:r w:rsidR="00170A83">
              <w:rPr>
                <w:rFonts w:ascii="Arial" w:eastAsia="Calibri" w:hAnsi="Arial" w:cs="Arial"/>
                <w:bCs/>
                <w:iCs/>
                <w:color w:val="000000" w:themeColor="text1"/>
              </w:rPr>
              <w:t xml:space="preserve">about the students to provide an informed view of their developmental needs. </w:t>
            </w:r>
          </w:p>
          <w:p w14:paraId="6F7306AB" w14:textId="77777777" w:rsidR="00170A83" w:rsidRDefault="00170A83" w:rsidP="00A759EC">
            <w:pPr>
              <w:tabs>
                <w:tab w:val="left" w:pos="356"/>
                <w:tab w:val="left" w:pos="9248"/>
              </w:tabs>
              <w:rPr>
                <w:rFonts w:ascii="Arial" w:eastAsia="Calibri" w:hAnsi="Arial" w:cs="Arial"/>
                <w:bCs/>
                <w:iCs/>
                <w:color w:val="000000" w:themeColor="text1"/>
              </w:rPr>
            </w:pPr>
          </w:p>
          <w:p w14:paraId="1A5FDABF" w14:textId="2FF92FB0" w:rsidR="00170A83" w:rsidRDefault="00F25841" w:rsidP="00A759EC">
            <w:pPr>
              <w:tabs>
                <w:tab w:val="left" w:pos="356"/>
                <w:tab w:val="left" w:pos="9248"/>
              </w:tabs>
              <w:rPr>
                <w:rFonts w:ascii="Arial" w:eastAsia="Calibri" w:hAnsi="Arial" w:cs="Arial"/>
                <w:bCs/>
                <w:iCs/>
                <w:color w:val="000000" w:themeColor="text1"/>
              </w:rPr>
            </w:pPr>
            <w:r>
              <w:rPr>
                <w:rFonts w:ascii="Arial" w:eastAsia="Calibri" w:hAnsi="Arial" w:cs="Arial"/>
                <w:bCs/>
                <w:iCs/>
                <w:color w:val="000000" w:themeColor="text1"/>
              </w:rPr>
              <w:t>The</w:t>
            </w:r>
            <w:r w:rsidR="00530975">
              <w:rPr>
                <w:rFonts w:ascii="Arial" w:eastAsia="Calibri" w:hAnsi="Arial" w:cs="Arial"/>
                <w:bCs/>
                <w:iCs/>
                <w:color w:val="000000" w:themeColor="text1"/>
              </w:rPr>
              <w:t xml:space="preserve"> CPP</w:t>
            </w:r>
            <w:r>
              <w:rPr>
                <w:rFonts w:ascii="Arial" w:eastAsia="Calibri" w:hAnsi="Arial" w:cs="Arial"/>
                <w:bCs/>
                <w:iCs/>
                <w:color w:val="000000" w:themeColor="text1"/>
              </w:rPr>
              <w:t>, also chaired by the Vi</w:t>
            </w:r>
            <w:r w:rsidR="004B6CF2">
              <w:rPr>
                <w:rFonts w:ascii="Arial" w:eastAsia="Calibri" w:hAnsi="Arial" w:cs="Arial"/>
                <w:bCs/>
                <w:iCs/>
                <w:color w:val="000000" w:themeColor="text1"/>
              </w:rPr>
              <w:t>c</w:t>
            </w:r>
            <w:r>
              <w:rPr>
                <w:rFonts w:ascii="Arial" w:eastAsia="Calibri" w:hAnsi="Arial" w:cs="Arial"/>
                <w:bCs/>
                <w:iCs/>
                <w:color w:val="000000" w:themeColor="text1"/>
              </w:rPr>
              <w:t>e-Dean for Student Experience</w:t>
            </w:r>
            <w:r w:rsidR="004526C5">
              <w:rPr>
                <w:rFonts w:ascii="Arial" w:eastAsia="Calibri" w:hAnsi="Arial" w:cs="Arial"/>
                <w:bCs/>
                <w:iCs/>
                <w:color w:val="000000" w:themeColor="text1"/>
              </w:rPr>
              <w:t>,</w:t>
            </w:r>
            <w:r w:rsidR="00530975">
              <w:rPr>
                <w:rFonts w:ascii="Arial" w:eastAsia="Calibri" w:hAnsi="Arial" w:cs="Arial"/>
                <w:bCs/>
                <w:iCs/>
                <w:color w:val="000000" w:themeColor="text1"/>
              </w:rPr>
              <w:t xml:space="preserve"> takes place </w:t>
            </w:r>
            <w:r w:rsidR="00584127">
              <w:rPr>
                <w:rFonts w:ascii="Arial" w:eastAsia="Calibri" w:hAnsi="Arial" w:cs="Arial"/>
                <w:bCs/>
                <w:iCs/>
                <w:color w:val="000000" w:themeColor="text1"/>
              </w:rPr>
              <w:t xml:space="preserve">at the end of each academic year. </w:t>
            </w:r>
            <w:r w:rsidR="00FA12DD">
              <w:rPr>
                <w:rFonts w:ascii="Arial" w:eastAsia="Calibri" w:hAnsi="Arial" w:cs="Arial"/>
                <w:bCs/>
                <w:iCs/>
                <w:color w:val="000000" w:themeColor="text1"/>
              </w:rPr>
              <w:t xml:space="preserve">The CPP considers all student data that has been collected </w:t>
            </w:r>
            <w:r w:rsidR="007B6164">
              <w:rPr>
                <w:rFonts w:ascii="Arial" w:eastAsia="Calibri" w:hAnsi="Arial" w:cs="Arial"/>
                <w:bCs/>
                <w:iCs/>
                <w:color w:val="000000" w:themeColor="text1"/>
              </w:rPr>
              <w:t xml:space="preserve">in order to identify students who are ready to progress to the next </w:t>
            </w:r>
            <w:r w:rsidR="003E75AA">
              <w:rPr>
                <w:rFonts w:ascii="Arial" w:eastAsia="Calibri" w:hAnsi="Arial" w:cs="Arial"/>
                <w:bCs/>
                <w:iCs/>
                <w:color w:val="000000" w:themeColor="text1"/>
              </w:rPr>
              <w:t>year of the programme</w:t>
            </w:r>
            <w:r w:rsidR="004B6CF2">
              <w:rPr>
                <w:rFonts w:ascii="Arial" w:eastAsia="Calibri" w:hAnsi="Arial" w:cs="Arial"/>
                <w:bCs/>
                <w:iCs/>
                <w:color w:val="000000" w:themeColor="text1"/>
              </w:rPr>
              <w:t>. In the final year the CPP outcomes are considered independently</w:t>
            </w:r>
            <w:r w:rsidR="001B188C">
              <w:rPr>
                <w:rFonts w:ascii="Arial" w:eastAsia="Calibri" w:hAnsi="Arial" w:cs="Arial"/>
                <w:bCs/>
                <w:iCs/>
                <w:color w:val="000000" w:themeColor="text1"/>
              </w:rPr>
              <w:t>,</w:t>
            </w:r>
            <w:r w:rsidR="004B6CF2">
              <w:rPr>
                <w:rFonts w:ascii="Arial" w:eastAsia="Calibri" w:hAnsi="Arial" w:cs="Arial"/>
                <w:bCs/>
                <w:iCs/>
                <w:color w:val="000000" w:themeColor="text1"/>
              </w:rPr>
              <w:t xml:space="preserve"> and alongside</w:t>
            </w:r>
            <w:r w:rsidR="001B188C">
              <w:rPr>
                <w:rFonts w:ascii="Arial" w:eastAsia="Calibri" w:hAnsi="Arial" w:cs="Arial"/>
                <w:bCs/>
                <w:iCs/>
                <w:color w:val="000000" w:themeColor="text1"/>
              </w:rPr>
              <w:t>,</w:t>
            </w:r>
            <w:r w:rsidR="004B6CF2">
              <w:rPr>
                <w:rFonts w:ascii="Arial" w:eastAsia="Calibri" w:hAnsi="Arial" w:cs="Arial"/>
                <w:bCs/>
                <w:iCs/>
                <w:color w:val="000000" w:themeColor="text1"/>
              </w:rPr>
              <w:t xml:space="preserve"> the results of the finals examinations to allow the readiness for graduation decision</w:t>
            </w:r>
            <w:r w:rsidR="003E75AA">
              <w:rPr>
                <w:rFonts w:ascii="Arial" w:eastAsia="Calibri" w:hAnsi="Arial" w:cs="Arial"/>
                <w:bCs/>
                <w:iCs/>
                <w:color w:val="000000" w:themeColor="text1"/>
              </w:rPr>
              <w:t>.</w:t>
            </w:r>
            <w:r w:rsidR="004526C5">
              <w:rPr>
                <w:rFonts w:ascii="Arial" w:eastAsia="Calibri" w:hAnsi="Arial" w:cs="Arial"/>
                <w:bCs/>
                <w:iCs/>
                <w:color w:val="000000" w:themeColor="text1"/>
              </w:rPr>
              <w:t xml:space="preserve"> During the inspection the panel attended a CPP for the graduating cohort and were </w:t>
            </w:r>
            <w:r w:rsidR="0093496B">
              <w:rPr>
                <w:rFonts w:ascii="Arial" w:eastAsia="Calibri" w:hAnsi="Arial" w:cs="Arial"/>
                <w:bCs/>
                <w:iCs/>
                <w:color w:val="000000" w:themeColor="text1"/>
              </w:rPr>
              <w:t xml:space="preserve">assured by the </w:t>
            </w:r>
            <w:r w:rsidR="002852AA">
              <w:rPr>
                <w:rFonts w:ascii="Arial" w:eastAsia="Calibri" w:hAnsi="Arial" w:cs="Arial"/>
                <w:bCs/>
                <w:iCs/>
                <w:color w:val="000000" w:themeColor="text1"/>
              </w:rPr>
              <w:t>decision-making</w:t>
            </w:r>
            <w:r w:rsidR="0093496B">
              <w:rPr>
                <w:rFonts w:ascii="Arial" w:eastAsia="Calibri" w:hAnsi="Arial" w:cs="Arial"/>
                <w:bCs/>
                <w:iCs/>
                <w:color w:val="000000" w:themeColor="text1"/>
              </w:rPr>
              <w:t xml:space="preserve"> processes in place. </w:t>
            </w:r>
          </w:p>
          <w:p w14:paraId="0ABF7DFF" w14:textId="77777777" w:rsidR="00285152" w:rsidRPr="00044A9E" w:rsidRDefault="00285152" w:rsidP="00A759EC">
            <w:pPr>
              <w:tabs>
                <w:tab w:val="left" w:pos="356"/>
                <w:tab w:val="left" w:pos="9248"/>
              </w:tabs>
              <w:rPr>
                <w:rFonts w:ascii="Arial" w:hAnsi="Arial" w:cs="Arial"/>
              </w:rPr>
            </w:pPr>
          </w:p>
          <w:p w14:paraId="2BC30CD1" w14:textId="06A8A899" w:rsidR="00E2148E" w:rsidRDefault="00E2148E" w:rsidP="00A759EC">
            <w:pPr>
              <w:tabs>
                <w:tab w:val="left" w:pos="720"/>
                <w:tab w:val="left" w:pos="9248"/>
              </w:tabs>
              <w:rPr>
                <w:rFonts w:ascii="Arial" w:eastAsia="Calibri" w:hAnsi="Arial" w:cs="Arial"/>
                <w:b/>
                <w:i/>
                <w:color w:val="000000" w:themeColor="text1"/>
              </w:rPr>
            </w:pPr>
            <w:r w:rsidRPr="00044A9E">
              <w:rPr>
                <w:rFonts w:ascii="Arial" w:eastAsia="Calibri" w:hAnsi="Arial" w:cs="Arial"/>
                <w:b/>
                <w:color w:val="000000" w:themeColor="text1"/>
              </w:rPr>
              <w:lastRenderedPageBreak/>
              <w:t>Requirement 14: The provider must have in place management systems to plan, monitor and centrally record the assessment of students, including the monitoring of clinical and/or technical experience, throughout the programme against each of the learning outcomes</w:t>
            </w:r>
            <w:r w:rsidRPr="00D46251">
              <w:rPr>
                <w:rFonts w:ascii="Arial" w:eastAsia="Calibri" w:hAnsi="Arial" w:cs="Arial"/>
                <w:b/>
                <w:color w:val="000000" w:themeColor="text1"/>
              </w:rPr>
              <w:t xml:space="preserve">. </w:t>
            </w:r>
            <w:r w:rsidRPr="00D46251">
              <w:rPr>
                <w:rFonts w:ascii="Arial" w:eastAsia="Calibri" w:hAnsi="Arial" w:cs="Arial"/>
                <w:b/>
                <w:i/>
                <w:color w:val="000000" w:themeColor="text1"/>
              </w:rPr>
              <w:t>(Requirement Me</w:t>
            </w:r>
            <w:r w:rsidR="004C5948" w:rsidRPr="00D46251">
              <w:rPr>
                <w:rFonts w:ascii="Arial" w:eastAsia="Calibri" w:hAnsi="Arial" w:cs="Arial"/>
                <w:b/>
                <w:i/>
                <w:color w:val="000000" w:themeColor="text1"/>
              </w:rPr>
              <w:t>t</w:t>
            </w:r>
            <w:r w:rsidRPr="00D46251">
              <w:rPr>
                <w:rFonts w:ascii="Arial" w:eastAsia="Calibri" w:hAnsi="Arial" w:cs="Arial"/>
                <w:b/>
                <w:i/>
                <w:color w:val="000000" w:themeColor="text1"/>
              </w:rPr>
              <w:t>)</w:t>
            </w:r>
          </w:p>
          <w:p w14:paraId="59229E9D" w14:textId="77777777" w:rsidR="00D46251" w:rsidRPr="00F613CA" w:rsidRDefault="00D46251" w:rsidP="00A759EC">
            <w:pPr>
              <w:tabs>
                <w:tab w:val="left" w:pos="720"/>
                <w:tab w:val="left" w:pos="9248"/>
              </w:tabs>
              <w:rPr>
                <w:rFonts w:ascii="Arial" w:eastAsia="Calibri" w:hAnsi="Arial" w:cs="Arial"/>
                <w:b/>
                <w:iCs/>
                <w:color w:val="000000" w:themeColor="text1"/>
              </w:rPr>
            </w:pPr>
          </w:p>
          <w:p w14:paraId="61805DBF" w14:textId="77777777" w:rsidR="00F613CA" w:rsidRDefault="00D46251" w:rsidP="00A759EC">
            <w:pPr>
              <w:tabs>
                <w:tab w:val="left" w:pos="720"/>
                <w:tab w:val="left" w:pos="9248"/>
              </w:tabs>
              <w:rPr>
                <w:rFonts w:ascii="Arial" w:eastAsia="Calibri" w:hAnsi="Arial" w:cs="Arial"/>
                <w:bCs/>
                <w:iCs/>
                <w:color w:val="000000" w:themeColor="text1"/>
              </w:rPr>
            </w:pPr>
            <w:r w:rsidRPr="00F613CA">
              <w:rPr>
                <w:rFonts w:ascii="Arial" w:eastAsia="Calibri" w:hAnsi="Arial" w:cs="Arial"/>
                <w:bCs/>
                <w:iCs/>
                <w:color w:val="000000" w:themeColor="text1"/>
              </w:rPr>
              <w:t xml:space="preserve">The panel </w:t>
            </w:r>
            <w:r w:rsidR="00F125F7" w:rsidRPr="00F613CA">
              <w:rPr>
                <w:rFonts w:ascii="Arial" w:eastAsia="Calibri" w:hAnsi="Arial" w:cs="Arial"/>
                <w:bCs/>
                <w:iCs/>
                <w:color w:val="000000" w:themeColor="text1"/>
              </w:rPr>
              <w:t xml:space="preserve">was provided with </w:t>
            </w:r>
            <w:r w:rsidR="00F613CA" w:rsidRPr="00F613CA">
              <w:rPr>
                <w:rFonts w:ascii="Arial" w:eastAsia="Calibri" w:hAnsi="Arial" w:cs="Arial"/>
                <w:bCs/>
                <w:iCs/>
                <w:color w:val="000000" w:themeColor="text1"/>
              </w:rPr>
              <w:t xml:space="preserve">good </w:t>
            </w:r>
            <w:r w:rsidRPr="00F613CA">
              <w:rPr>
                <w:rFonts w:ascii="Arial" w:eastAsia="Calibri" w:hAnsi="Arial" w:cs="Arial"/>
                <w:bCs/>
                <w:iCs/>
                <w:color w:val="000000" w:themeColor="text1"/>
              </w:rPr>
              <w:t xml:space="preserve">evidence of </w:t>
            </w:r>
            <w:r w:rsidR="00F613CA" w:rsidRPr="00F613CA">
              <w:rPr>
                <w:rFonts w:ascii="Arial" w:eastAsia="Calibri" w:hAnsi="Arial" w:cs="Arial"/>
                <w:bCs/>
                <w:iCs/>
                <w:color w:val="000000" w:themeColor="text1"/>
              </w:rPr>
              <w:t xml:space="preserve">the </w:t>
            </w:r>
            <w:r w:rsidRPr="00F613CA">
              <w:rPr>
                <w:rFonts w:ascii="Arial" w:eastAsia="Calibri" w:hAnsi="Arial" w:cs="Arial"/>
                <w:bCs/>
                <w:iCs/>
                <w:color w:val="000000" w:themeColor="text1"/>
              </w:rPr>
              <w:t xml:space="preserve">systems used by the school to monitor and record the assessment of students against the learning outcomes. This system is standardised across all placements to ensure a consistent approach is in place. All staff, including placement supervisors, were clear on how to use the systems and felt appropriately supported and trained by the faculty leads. </w:t>
            </w:r>
          </w:p>
          <w:p w14:paraId="1EA3BF78" w14:textId="77777777" w:rsidR="008C414A" w:rsidRDefault="008C414A" w:rsidP="00A759EC">
            <w:pPr>
              <w:tabs>
                <w:tab w:val="left" w:pos="720"/>
                <w:tab w:val="left" w:pos="9248"/>
              </w:tabs>
              <w:rPr>
                <w:rFonts w:ascii="Arial" w:eastAsia="Calibri" w:hAnsi="Arial" w:cs="Arial"/>
                <w:bCs/>
                <w:iCs/>
                <w:color w:val="000000" w:themeColor="text1"/>
              </w:rPr>
            </w:pPr>
          </w:p>
          <w:p w14:paraId="76AC0F3E" w14:textId="06A7D723" w:rsidR="008C414A" w:rsidRDefault="008C414A"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As noted in Requirement 13</w:t>
            </w:r>
            <w:r w:rsidR="0077370E">
              <w:rPr>
                <w:rFonts w:ascii="Arial" w:eastAsia="Calibri" w:hAnsi="Arial" w:cs="Arial"/>
                <w:bCs/>
                <w:iCs/>
                <w:color w:val="000000" w:themeColor="text1"/>
              </w:rPr>
              <w:t xml:space="preserve">, LiftUpp is the primary system used for capturing </w:t>
            </w:r>
            <w:r w:rsidR="00EE76FE">
              <w:rPr>
                <w:rFonts w:ascii="Arial" w:eastAsia="Calibri" w:hAnsi="Arial" w:cs="Arial"/>
                <w:bCs/>
                <w:iCs/>
                <w:color w:val="000000" w:themeColor="text1"/>
              </w:rPr>
              <w:t xml:space="preserve">assessment and student clinical experience data. </w:t>
            </w:r>
            <w:r w:rsidR="002663C2">
              <w:rPr>
                <w:rFonts w:ascii="Arial" w:eastAsia="Calibri" w:hAnsi="Arial" w:cs="Arial"/>
                <w:bCs/>
                <w:iCs/>
                <w:color w:val="000000" w:themeColor="text1"/>
              </w:rPr>
              <w:t xml:space="preserve">LiftUpp allows </w:t>
            </w:r>
            <w:r w:rsidR="008D3BAD">
              <w:rPr>
                <w:rFonts w:ascii="Arial" w:eastAsia="Calibri" w:hAnsi="Arial" w:cs="Arial"/>
                <w:bCs/>
                <w:iCs/>
                <w:color w:val="000000" w:themeColor="text1"/>
              </w:rPr>
              <w:t>student data to be recorded against the following domains:</w:t>
            </w:r>
          </w:p>
          <w:p w14:paraId="28977080" w14:textId="77777777" w:rsidR="008D3BAD" w:rsidRDefault="008D3BAD" w:rsidP="00A759EC">
            <w:pPr>
              <w:tabs>
                <w:tab w:val="left" w:pos="720"/>
                <w:tab w:val="left" w:pos="9248"/>
              </w:tabs>
              <w:rPr>
                <w:rFonts w:ascii="Arial" w:eastAsia="Calibri" w:hAnsi="Arial" w:cs="Arial"/>
                <w:bCs/>
                <w:iCs/>
                <w:color w:val="000000" w:themeColor="text1"/>
              </w:rPr>
            </w:pPr>
          </w:p>
          <w:p w14:paraId="412B6E79" w14:textId="77777777" w:rsidR="008D3BAD" w:rsidRPr="008D3BAD" w:rsidRDefault="008D3BAD" w:rsidP="008D3BAD">
            <w:pPr>
              <w:numPr>
                <w:ilvl w:val="0"/>
                <w:numId w:val="24"/>
              </w:numPr>
              <w:tabs>
                <w:tab w:val="left" w:pos="720"/>
                <w:tab w:val="left" w:pos="9248"/>
              </w:tabs>
              <w:rPr>
                <w:rFonts w:ascii="Arial" w:eastAsia="Calibri" w:hAnsi="Arial" w:cs="Arial"/>
                <w:bCs/>
                <w:iCs/>
                <w:color w:val="000000" w:themeColor="text1"/>
              </w:rPr>
            </w:pPr>
            <w:r w:rsidRPr="008D3BAD">
              <w:rPr>
                <w:rFonts w:ascii="Arial" w:eastAsia="Calibri" w:hAnsi="Arial" w:cs="Arial"/>
                <w:bCs/>
                <w:iCs/>
                <w:color w:val="000000" w:themeColor="text1"/>
              </w:rPr>
              <w:t>Clinical</w:t>
            </w:r>
          </w:p>
          <w:p w14:paraId="3A39E8BB" w14:textId="77777777" w:rsidR="008D3BAD" w:rsidRPr="008D3BAD" w:rsidRDefault="008D3BAD" w:rsidP="008D3BAD">
            <w:pPr>
              <w:numPr>
                <w:ilvl w:val="0"/>
                <w:numId w:val="24"/>
              </w:numPr>
              <w:tabs>
                <w:tab w:val="left" w:pos="720"/>
                <w:tab w:val="left" w:pos="9248"/>
              </w:tabs>
              <w:rPr>
                <w:rFonts w:ascii="Arial" w:eastAsia="Calibri" w:hAnsi="Arial" w:cs="Arial"/>
                <w:bCs/>
                <w:iCs/>
                <w:color w:val="000000" w:themeColor="text1"/>
              </w:rPr>
            </w:pPr>
            <w:r w:rsidRPr="008D3BAD">
              <w:rPr>
                <w:rFonts w:ascii="Arial" w:eastAsia="Calibri" w:hAnsi="Arial" w:cs="Arial"/>
                <w:bCs/>
                <w:iCs/>
                <w:color w:val="000000" w:themeColor="text1"/>
              </w:rPr>
              <w:t>Professionalism</w:t>
            </w:r>
          </w:p>
          <w:p w14:paraId="5AA2206E" w14:textId="77777777" w:rsidR="008D3BAD" w:rsidRPr="008D3BAD" w:rsidRDefault="008D3BAD" w:rsidP="008D3BAD">
            <w:pPr>
              <w:numPr>
                <w:ilvl w:val="0"/>
                <w:numId w:val="24"/>
              </w:numPr>
              <w:tabs>
                <w:tab w:val="left" w:pos="720"/>
                <w:tab w:val="left" w:pos="9248"/>
              </w:tabs>
              <w:rPr>
                <w:rFonts w:ascii="Arial" w:eastAsia="Calibri" w:hAnsi="Arial" w:cs="Arial"/>
                <w:bCs/>
                <w:iCs/>
                <w:color w:val="000000" w:themeColor="text1"/>
              </w:rPr>
            </w:pPr>
            <w:r w:rsidRPr="008D3BAD">
              <w:rPr>
                <w:rFonts w:ascii="Arial" w:eastAsia="Calibri" w:hAnsi="Arial" w:cs="Arial"/>
                <w:bCs/>
                <w:iCs/>
                <w:color w:val="000000" w:themeColor="text1"/>
              </w:rPr>
              <w:t>Management &amp; Leadership</w:t>
            </w:r>
          </w:p>
          <w:p w14:paraId="18C2F547" w14:textId="77777777" w:rsidR="008D3BAD" w:rsidRPr="008D3BAD" w:rsidRDefault="008D3BAD" w:rsidP="008D3BAD">
            <w:pPr>
              <w:numPr>
                <w:ilvl w:val="0"/>
                <w:numId w:val="24"/>
              </w:numPr>
              <w:tabs>
                <w:tab w:val="left" w:pos="720"/>
                <w:tab w:val="left" w:pos="9248"/>
              </w:tabs>
              <w:rPr>
                <w:rFonts w:ascii="Arial" w:eastAsia="Calibri" w:hAnsi="Arial" w:cs="Arial"/>
                <w:bCs/>
                <w:iCs/>
                <w:color w:val="000000" w:themeColor="text1"/>
              </w:rPr>
            </w:pPr>
            <w:r w:rsidRPr="008D3BAD">
              <w:rPr>
                <w:rFonts w:ascii="Arial" w:eastAsia="Calibri" w:hAnsi="Arial" w:cs="Arial"/>
                <w:bCs/>
                <w:iCs/>
                <w:color w:val="000000" w:themeColor="text1"/>
              </w:rPr>
              <w:t>Communication</w:t>
            </w:r>
          </w:p>
          <w:p w14:paraId="0A486C0E" w14:textId="77777777" w:rsidR="008D3BAD" w:rsidRDefault="008D3BAD" w:rsidP="008D3BAD">
            <w:pPr>
              <w:numPr>
                <w:ilvl w:val="0"/>
                <w:numId w:val="24"/>
              </w:numPr>
              <w:tabs>
                <w:tab w:val="left" w:pos="720"/>
                <w:tab w:val="left" w:pos="9248"/>
              </w:tabs>
              <w:rPr>
                <w:rFonts w:ascii="Arial" w:eastAsia="Calibri" w:hAnsi="Arial" w:cs="Arial"/>
                <w:bCs/>
                <w:iCs/>
                <w:color w:val="000000" w:themeColor="text1"/>
              </w:rPr>
            </w:pPr>
            <w:r w:rsidRPr="008D3BAD">
              <w:rPr>
                <w:rFonts w:ascii="Arial" w:eastAsia="Calibri" w:hAnsi="Arial" w:cs="Arial"/>
                <w:bCs/>
                <w:iCs/>
                <w:color w:val="000000" w:themeColor="text1"/>
              </w:rPr>
              <w:t>Knowledge &amp; Understanding</w:t>
            </w:r>
          </w:p>
          <w:p w14:paraId="4426EADE" w14:textId="77777777" w:rsidR="008D3BAD" w:rsidRDefault="008D3BAD" w:rsidP="008D3BAD">
            <w:pPr>
              <w:tabs>
                <w:tab w:val="left" w:pos="720"/>
                <w:tab w:val="left" w:pos="9248"/>
              </w:tabs>
              <w:rPr>
                <w:rFonts w:ascii="Arial" w:eastAsia="Calibri" w:hAnsi="Arial" w:cs="Arial"/>
                <w:bCs/>
                <w:iCs/>
                <w:color w:val="000000" w:themeColor="text1"/>
              </w:rPr>
            </w:pPr>
          </w:p>
          <w:p w14:paraId="6E1A319C" w14:textId="7D2EC038" w:rsidR="008D3BAD" w:rsidRPr="00F613CA" w:rsidRDefault="00D63EED"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The system uses a </w:t>
            </w:r>
            <w:r w:rsidR="002F6810">
              <w:rPr>
                <w:rFonts w:ascii="Arial" w:eastAsia="Calibri" w:hAnsi="Arial" w:cs="Arial"/>
                <w:bCs/>
                <w:iCs/>
                <w:color w:val="000000" w:themeColor="text1"/>
              </w:rPr>
              <w:t>scoring range for each clinical activity attempted which</w:t>
            </w:r>
            <w:r w:rsidR="00C52E49">
              <w:rPr>
                <w:rFonts w:ascii="Arial" w:eastAsia="Calibri" w:hAnsi="Arial" w:cs="Arial"/>
                <w:bCs/>
                <w:iCs/>
                <w:color w:val="000000" w:themeColor="text1"/>
              </w:rPr>
              <w:t xml:space="preserve"> demonstrates competency progression throughout the programme. </w:t>
            </w:r>
          </w:p>
          <w:p w14:paraId="5B3A46F1" w14:textId="77777777" w:rsidR="00F613CA" w:rsidRPr="00F613CA" w:rsidRDefault="00F613CA" w:rsidP="00A759EC">
            <w:pPr>
              <w:tabs>
                <w:tab w:val="left" w:pos="720"/>
                <w:tab w:val="left" w:pos="9248"/>
              </w:tabs>
              <w:rPr>
                <w:rFonts w:ascii="Arial" w:eastAsia="Calibri" w:hAnsi="Arial" w:cs="Arial"/>
                <w:bCs/>
                <w:iCs/>
                <w:color w:val="000000" w:themeColor="text1"/>
              </w:rPr>
            </w:pPr>
          </w:p>
          <w:p w14:paraId="49C71911" w14:textId="35D8A3B9" w:rsidR="00D46251" w:rsidRPr="00F613CA" w:rsidRDefault="00D46251" w:rsidP="00A759EC">
            <w:pPr>
              <w:tabs>
                <w:tab w:val="left" w:pos="720"/>
                <w:tab w:val="left" w:pos="9248"/>
              </w:tabs>
              <w:rPr>
                <w:rFonts w:ascii="Arial" w:eastAsia="Calibri" w:hAnsi="Arial" w:cs="Arial"/>
                <w:bCs/>
                <w:iCs/>
                <w:color w:val="000000" w:themeColor="text1"/>
              </w:rPr>
            </w:pPr>
            <w:r w:rsidRPr="00F613CA">
              <w:rPr>
                <w:rFonts w:ascii="Arial" w:eastAsia="Calibri" w:hAnsi="Arial" w:cs="Arial"/>
                <w:bCs/>
                <w:iCs/>
                <w:color w:val="000000" w:themeColor="text1"/>
              </w:rPr>
              <w:t>Information</w:t>
            </w:r>
            <w:r w:rsidR="00CE5138">
              <w:rPr>
                <w:rFonts w:ascii="Arial" w:eastAsia="Calibri" w:hAnsi="Arial" w:cs="Arial"/>
                <w:bCs/>
                <w:iCs/>
                <w:color w:val="000000" w:themeColor="text1"/>
              </w:rPr>
              <w:t xml:space="preserve"> on how LiftUpp is used</w:t>
            </w:r>
            <w:r w:rsidRPr="00F613CA">
              <w:rPr>
                <w:rFonts w:ascii="Arial" w:eastAsia="Calibri" w:hAnsi="Arial" w:cs="Arial"/>
                <w:bCs/>
                <w:iCs/>
                <w:color w:val="000000" w:themeColor="text1"/>
              </w:rPr>
              <w:t xml:space="preserve"> was clear and accessible for all </w:t>
            </w:r>
            <w:r w:rsidR="00CE5138">
              <w:rPr>
                <w:rFonts w:ascii="Arial" w:eastAsia="Calibri" w:hAnsi="Arial" w:cs="Arial"/>
                <w:bCs/>
                <w:iCs/>
                <w:color w:val="000000" w:themeColor="text1"/>
              </w:rPr>
              <w:t xml:space="preserve">students and </w:t>
            </w:r>
            <w:r w:rsidRPr="00F613CA">
              <w:rPr>
                <w:rFonts w:ascii="Arial" w:eastAsia="Calibri" w:hAnsi="Arial" w:cs="Arial"/>
                <w:bCs/>
                <w:iCs/>
                <w:color w:val="000000" w:themeColor="text1"/>
              </w:rPr>
              <w:t>staff</w:t>
            </w:r>
            <w:r w:rsidR="00CE5138">
              <w:rPr>
                <w:rFonts w:ascii="Arial" w:eastAsia="Calibri" w:hAnsi="Arial" w:cs="Arial"/>
                <w:bCs/>
                <w:iCs/>
                <w:color w:val="000000" w:themeColor="text1"/>
              </w:rPr>
              <w:t>. T</w:t>
            </w:r>
            <w:r w:rsidRPr="00F613CA">
              <w:rPr>
                <w:rFonts w:ascii="Arial" w:eastAsia="Calibri" w:hAnsi="Arial" w:cs="Arial"/>
                <w:bCs/>
                <w:iCs/>
                <w:color w:val="000000" w:themeColor="text1"/>
              </w:rPr>
              <w:t xml:space="preserve">he panel was satisfied that this requirement has been met. </w:t>
            </w:r>
          </w:p>
          <w:p w14:paraId="74CF75A1" w14:textId="77777777" w:rsidR="00E2148E" w:rsidRPr="00044A9E" w:rsidRDefault="00E2148E" w:rsidP="00A759EC">
            <w:pPr>
              <w:tabs>
                <w:tab w:val="left" w:pos="720"/>
                <w:tab w:val="left" w:pos="9248"/>
              </w:tabs>
              <w:rPr>
                <w:rFonts w:ascii="Arial" w:eastAsia="Calibri" w:hAnsi="Arial" w:cs="Arial"/>
                <w:color w:val="000000" w:themeColor="text1"/>
              </w:rPr>
            </w:pPr>
          </w:p>
          <w:p w14:paraId="24ADC03A" w14:textId="3273092E" w:rsidR="00E2148E" w:rsidRPr="00044A9E" w:rsidRDefault="00E2148E" w:rsidP="00A759EC">
            <w:pPr>
              <w:tabs>
                <w:tab w:val="left" w:pos="720"/>
                <w:tab w:val="left" w:pos="9248"/>
              </w:tabs>
              <w:rPr>
                <w:rFonts w:ascii="Arial" w:hAnsi="Arial" w:cs="Arial"/>
                <w:color w:val="000000" w:themeColor="text1"/>
              </w:rPr>
            </w:pPr>
            <w:r w:rsidRPr="00044A9E">
              <w:rPr>
                <w:rFonts w:ascii="Arial" w:eastAsia="Calibri" w:hAnsi="Arial" w:cs="Arial"/>
                <w:b/>
                <w:color w:val="000000" w:themeColor="text1"/>
              </w:rPr>
              <w:t>Requirement 15: Students must have exposure to an appropriate breadth of patients/procedures and should undertake each activity relating to patient care on sufficient occasions to enable them to develop the skills and the level of competency to achieve the relevant GDC learning outcomes</w:t>
            </w:r>
            <w:r w:rsidRPr="002852AA">
              <w:rPr>
                <w:rFonts w:ascii="Arial" w:eastAsia="Calibri" w:hAnsi="Arial" w:cs="Arial"/>
                <w:b/>
                <w:color w:val="000000" w:themeColor="text1"/>
              </w:rPr>
              <w:t xml:space="preserve">. </w:t>
            </w:r>
            <w:r w:rsidRPr="002852AA">
              <w:rPr>
                <w:rFonts w:ascii="Arial" w:eastAsia="Calibri" w:hAnsi="Arial" w:cs="Arial"/>
                <w:b/>
                <w:i/>
                <w:color w:val="000000" w:themeColor="text1"/>
              </w:rPr>
              <w:t>(Requirement Met)</w:t>
            </w:r>
          </w:p>
          <w:p w14:paraId="38B4315C" w14:textId="77777777" w:rsidR="00E2148E" w:rsidRDefault="00E2148E" w:rsidP="00A759EC">
            <w:pPr>
              <w:tabs>
                <w:tab w:val="left" w:pos="720"/>
                <w:tab w:val="left" w:pos="9248"/>
              </w:tabs>
              <w:rPr>
                <w:rFonts w:ascii="Arial" w:hAnsi="Arial" w:cs="Arial"/>
                <w:color w:val="000000" w:themeColor="text1"/>
              </w:rPr>
            </w:pPr>
          </w:p>
          <w:p w14:paraId="7BC6E78B" w14:textId="48CBB4F3" w:rsidR="00D1209A" w:rsidRDefault="00D1209A" w:rsidP="00A759EC">
            <w:pPr>
              <w:tabs>
                <w:tab w:val="left" w:pos="720"/>
                <w:tab w:val="left" w:pos="9248"/>
              </w:tabs>
              <w:rPr>
                <w:rFonts w:ascii="Arial" w:hAnsi="Arial" w:cs="Arial"/>
                <w:color w:val="000000" w:themeColor="text1"/>
              </w:rPr>
            </w:pPr>
            <w:r>
              <w:rPr>
                <w:rFonts w:ascii="Arial" w:hAnsi="Arial" w:cs="Arial"/>
                <w:color w:val="000000" w:themeColor="text1"/>
              </w:rPr>
              <w:t>The panel a</w:t>
            </w:r>
            <w:r w:rsidR="004E6843">
              <w:rPr>
                <w:rFonts w:ascii="Arial" w:hAnsi="Arial" w:cs="Arial"/>
                <w:color w:val="000000" w:themeColor="text1"/>
              </w:rPr>
              <w:t>cknowledged</w:t>
            </w:r>
            <w:r>
              <w:rPr>
                <w:rFonts w:ascii="Arial" w:hAnsi="Arial" w:cs="Arial"/>
                <w:color w:val="000000" w:themeColor="text1"/>
              </w:rPr>
              <w:t xml:space="preserve"> </w:t>
            </w:r>
            <w:r w:rsidR="0016553C">
              <w:rPr>
                <w:rFonts w:ascii="Arial" w:hAnsi="Arial" w:cs="Arial"/>
                <w:color w:val="000000" w:themeColor="text1"/>
              </w:rPr>
              <w:t xml:space="preserve">the </w:t>
            </w:r>
            <w:r w:rsidR="009C2DF3">
              <w:rPr>
                <w:rFonts w:ascii="Arial" w:hAnsi="Arial" w:cs="Arial"/>
                <w:color w:val="000000" w:themeColor="text1"/>
              </w:rPr>
              <w:t>s</w:t>
            </w:r>
            <w:r w:rsidR="0016553C">
              <w:rPr>
                <w:rFonts w:ascii="Arial" w:hAnsi="Arial" w:cs="Arial"/>
                <w:color w:val="000000" w:themeColor="text1"/>
              </w:rPr>
              <w:t>chool’s approach to patient exp</w:t>
            </w:r>
            <w:r w:rsidR="005D3230">
              <w:rPr>
                <w:rFonts w:ascii="Arial" w:hAnsi="Arial" w:cs="Arial"/>
                <w:color w:val="000000" w:themeColor="text1"/>
              </w:rPr>
              <w:t xml:space="preserve">osure, where emphasis is placed on competency rather </w:t>
            </w:r>
            <w:r w:rsidR="005F3032">
              <w:rPr>
                <w:rFonts w:ascii="Arial" w:hAnsi="Arial" w:cs="Arial"/>
                <w:color w:val="000000" w:themeColor="text1"/>
              </w:rPr>
              <w:t xml:space="preserve">than solely on clinical attainment numbers. </w:t>
            </w:r>
            <w:r w:rsidR="004E6843">
              <w:rPr>
                <w:rFonts w:ascii="Arial" w:hAnsi="Arial" w:cs="Arial"/>
                <w:color w:val="000000" w:themeColor="text1"/>
              </w:rPr>
              <w:t>T</w:t>
            </w:r>
            <w:r w:rsidR="00AF3979">
              <w:rPr>
                <w:rFonts w:ascii="Arial" w:hAnsi="Arial" w:cs="Arial"/>
                <w:color w:val="000000" w:themeColor="text1"/>
              </w:rPr>
              <w:t>he panel was</w:t>
            </w:r>
            <w:r w:rsidR="004E6843">
              <w:rPr>
                <w:rFonts w:ascii="Arial" w:hAnsi="Arial" w:cs="Arial"/>
                <w:color w:val="000000" w:themeColor="text1"/>
              </w:rPr>
              <w:t xml:space="preserve"> also</w:t>
            </w:r>
            <w:r w:rsidR="00AF3979">
              <w:rPr>
                <w:rFonts w:ascii="Arial" w:hAnsi="Arial" w:cs="Arial"/>
                <w:color w:val="000000" w:themeColor="text1"/>
              </w:rPr>
              <w:t xml:space="preserve"> reassured to note </w:t>
            </w:r>
            <w:r w:rsidR="00AF3979" w:rsidRPr="00AF3979">
              <w:rPr>
                <w:rFonts w:ascii="Arial" w:hAnsi="Arial" w:cs="Arial"/>
                <w:color w:val="000000" w:themeColor="text1"/>
              </w:rPr>
              <w:t xml:space="preserve">the </w:t>
            </w:r>
            <w:r w:rsidR="00CA0566">
              <w:rPr>
                <w:rFonts w:ascii="Arial" w:hAnsi="Arial" w:cs="Arial"/>
                <w:color w:val="000000" w:themeColor="text1"/>
              </w:rPr>
              <w:t>s</w:t>
            </w:r>
            <w:r w:rsidR="00AF3979" w:rsidRPr="00AF3979">
              <w:rPr>
                <w:rFonts w:ascii="Arial" w:hAnsi="Arial" w:cs="Arial"/>
                <w:color w:val="000000" w:themeColor="text1"/>
              </w:rPr>
              <w:t>chool acknowledges that a sufficient breadth and depth of experience is essential for the development of competence and for the reliable demonstration of its attainment.</w:t>
            </w:r>
          </w:p>
          <w:p w14:paraId="285251F9" w14:textId="77777777" w:rsidR="00D21A2E" w:rsidRDefault="00D21A2E" w:rsidP="00A759EC">
            <w:pPr>
              <w:tabs>
                <w:tab w:val="left" w:pos="720"/>
                <w:tab w:val="left" w:pos="9248"/>
              </w:tabs>
              <w:rPr>
                <w:rFonts w:ascii="Arial" w:hAnsi="Arial" w:cs="Arial"/>
                <w:color w:val="000000" w:themeColor="text1"/>
              </w:rPr>
            </w:pPr>
          </w:p>
          <w:p w14:paraId="4B2759DA" w14:textId="0D1F0738" w:rsidR="00D21A2E" w:rsidRDefault="00D21A2E" w:rsidP="00A759EC">
            <w:pPr>
              <w:tabs>
                <w:tab w:val="left" w:pos="720"/>
                <w:tab w:val="left" w:pos="9248"/>
              </w:tabs>
              <w:rPr>
                <w:rFonts w:ascii="Arial" w:hAnsi="Arial" w:cs="Arial"/>
                <w:color w:val="000000" w:themeColor="text1"/>
              </w:rPr>
            </w:pPr>
            <w:r>
              <w:rPr>
                <w:rFonts w:ascii="Arial" w:hAnsi="Arial" w:cs="Arial"/>
                <w:color w:val="000000" w:themeColor="text1"/>
              </w:rPr>
              <w:t xml:space="preserve">During the inspection the panel was provided with, and </w:t>
            </w:r>
            <w:r w:rsidR="001B5223">
              <w:rPr>
                <w:rFonts w:ascii="Arial" w:hAnsi="Arial" w:cs="Arial"/>
                <w:color w:val="000000" w:themeColor="text1"/>
              </w:rPr>
              <w:t xml:space="preserve">assured by, student clinical achievement data that was </w:t>
            </w:r>
            <w:r w:rsidR="00313BB4">
              <w:rPr>
                <w:rFonts w:ascii="Arial" w:hAnsi="Arial" w:cs="Arial"/>
                <w:color w:val="000000" w:themeColor="text1"/>
              </w:rPr>
              <w:t>demonstra</w:t>
            </w:r>
            <w:r w:rsidR="003A37A1">
              <w:rPr>
                <w:rFonts w:ascii="Arial" w:hAnsi="Arial" w:cs="Arial"/>
                <w:color w:val="000000" w:themeColor="text1"/>
              </w:rPr>
              <w:t>ted through</w:t>
            </w:r>
            <w:r w:rsidR="001B5223">
              <w:rPr>
                <w:rFonts w:ascii="Arial" w:hAnsi="Arial" w:cs="Arial"/>
                <w:color w:val="000000" w:themeColor="text1"/>
              </w:rPr>
              <w:t xml:space="preserve"> LiftUpp. </w:t>
            </w:r>
            <w:r w:rsidR="00276CCF">
              <w:rPr>
                <w:rFonts w:ascii="Arial" w:hAnsi="Arial" w:cs="Arial"/>
                <w:color w:val="000000" w:themeColor="text1"/>
              </w:rPr>
              <w:t xml:space="preserve">The panel was pleased to note that when </w:t>
            </w:r>
            <w:r w:rsidR="00BE2C31">
              <w:rPr>
                <w:rFonts w:ascii="Arial" w:hAnsi="Arial" w:cs="Arial"/>
                <w:color w:val="000000" w:themeColor="text1"/>
              </w:rPr>
              <w:t xml:space="preserve">issues arose due to a lack of clinical experience in a particular domain, action plans were put in place to address this. </w:t>
            </w:r>
            <w:r w:rsidR="008A4827">
              <w:rPr>
                <w:rFonts w:ascii="Arial" w:hAnsi="Arial" w:cs="Arial"/>
                <w:color w:val="000000" w:themeColor="text1"/>
              </w:rPr>
              <w:t>The panel was provided with an example of students struggling to achieve competency with endodontic treatments</w:t>
            </w:r>
            <w:r w:rsidR="00397344">
              <w:rPr>
                <w:rFonts w:ascii="Arial" w:hAnsi="Arial" w:cs="Arial"/>
                <w:color w:val="000000" w:themeColor="text1"/>
              </w:rPr>
              <w:t xml:space="preserve">. This was identified by the </w:t>
            </w:r>
            <w:r w:rsidR="007D4339">
              <w:rPr>
                <w:rFonts w:ascii="Arial" w:hAnsi="Arial" w:cs="Arial"/>
                <w:color w:val="000000" w:themeColor="text1"/>
              </w:rPr>
              <w:t>programme team</w:t>
            </w:r>
            <w:r w:rsidR="00397344">
              <w:rPr>
                <w:rFonts w:ascii="Arial" w:hAnsi="Arial" w:cs="Arial"/>
                <w:color w:val="000000" w:themeColor="text1"/>
              </w:rPr>
              <w:t xml:space="preserve"> and appropriate measures put in place to remediate the students. </w:t>
            </w:r>
          </w:p>
          <w:p w14:paraId="65823864" w14:textId="77777777" w:rsidR="00397344" w:rsidRDefault="00397344" w:rsidP="00A759EC">
            <w:pPr>
              <w:tabs>
                <w:tab w:val="left" w:pos="720"/>
                <w:tab w:val="left" w:pos="9248"/>
              </w:tabs>
              <w:rPr>
                <w:rFonts w:ascii="Arial" w:hAnsi="Arial" w:cs="Arial"/>
                <w:color w:val="000000" w:themeColor="text1"/>
              </w:rPr>
            </w:pPr>
          </w:p>
          <w:p w14:paraId="1E108B6F" w14:textId="54D4DB88" w:rsidR="00830232" w:rsidRDefault="00F466C6" w:rsidP="00A759EC">
            <w:pPr>
              <w:tabs>
                <w:tab w:val="left" w:pos="720"/>
                <w:tab w:val="left" w:pos="9248"/>
              </w:tabs>
              <w:rPr>
                <w:rFonts w:ascii="Arial" w:hAnsi="Arial" w:cs="Arial"/>
                <w:color w:val="000000" w:themeColor="text1"/>
              </w:rPr>
            </w:pPr>
            <w:r>
              <w:rPr>
                <w:rFonts w:ascii="Arial" w:hAnsi="Arial" w:cs="Arial"/>
                <w:color w:val="000000" w:themeColor="text1"/>
              </w:rPr>
              <w:t xml:space="preserve">The panel was also pleased to note that </w:t>
            </w:r>
            <w:r w:rsidR="00A35C6E">
              <w:rPr>
                <w:rFonts w:ascii="Arial" w:hAnsi="Arial" w:cs="Arial"/>
                <w:color w:val="000000" w:themeColor="text1"/>
              </w:rPr>
              <w:t xml:space="preserve">potential timing issues relating to the teaching of prosthodontics was mitigated by </w:t>
            </w:r>
            <w:r w:rsidR="00725A9C">
              <w:rPr>
                <w:rFonts w:ascii="Arial" w:hAnsi="Arial" w:cs="Arial"/>
                <w:color w:val="000000" w:themeColor="text1"/>
              </w:rPr>
              <w:t xml:space="preserve">a timetabling change. A concern had been identified that students may not have sufficient time </w:t>
            </w:r>
            <w:r w:rsidR="00B06E39">
              <w:rPr>
                <w:rFonts w:ascii="Arial" w:hAnsi="Arial" w:cs="Arial"/>
                <w:color w:val="000000" w:themeColor="text1"/>
              </w:rPr>
              <w:t xml:space="preserve">to complete their prosthodontic cases if they start in year 4. </w:t>
            </w:r>
            <w:r w:rsidR="007F5E9D">
              <w:rPr>
                <w:rFonts w:ascii="Arial" w:hAnsi="Arial" w:cs="Arial"/>
                <w:color w:val="000000" w:themeColor="text1"/>
              </w:rPr>
              <w:t xml:space="preserve">To address this, students start this area of experience at the end of year 3, </w:t>
            </w:r>
            <w:r w:rsidR="002852AA">
              <w:rPr>
                <w:rFonts w:ascii="Arial" w:hAnsi="Arial" w:cs="Arial"/>
                <w:color w:val="000000" w:themeColor="text1"/>
              </w:rPr>
              <w:t xml:space="preserve">giving them extra time to achieve the programme requirements. </w:t>
            </w:r>
          </w:p>
          <w:p w14:paraId="73D66A6A" w14:textId="77777777" w:rsidR="00E2148E" w:rsidRPr="00044A9E" w:rsidRDefault="00E2148E" w:rsidP="00A759EC">
            <w:pPr>
              <w:tabs>
                <w:tab w:val="left" w:pos="720"/>
                <w:tab w:val="left" w:pos="9248"/>
              </w:tabs>
              <w:rPr>
                <w:rFonts w:ascii="Arial" w:eastAsia="Calibri" w:hAnsi="Arial" w:cs="Arial"/>
                <w:b/>
                <w:i/>
                <w:color w:val="000000" w:themeColor="text1"/>
              </w:rPr>
            </w:pPr>
          </w:p>
          <w:p w14:paraId="03BD561A" w14:textId="29637B07" w:rsidR="00E2148E" w:rsidRDefault="00E2148E" w:rsidP="00A759EC">
            <w:pPr>
              <w:tabs>
                <w:tab w:val="left" w:pos="720"/>
                <w:tab w:val="left" w:pos="9248"/>
              </w:tabs>
              <w:rPr>
                <w:rFonts w:ascii="Arial" w:eastAsia="Calibri" w:hAnsi="Arial" w:cs="Arial"/>
                <w:b/>
                <w:i/>
                <w:color w:val="000000" w:themeColor="text1"/>
              </w:rPr>
            </w:pPr>
            <w:r w:rsidRPr="00044A9E">
              <w:rPr>
                <w:rFonts w:ascii="Arial" w:eastAsia="Calibri" w:hAnsi="Arial" w:cs="Arial"/>
                <w:b/>
                <w:color w:val="000000" w:themeColor="text1"/>
              </w:rPr>
              <w:t>Requirement 16: 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w:t>
            </w:r>
            <w:r w:rsidRPr="00D46251">
              <w:rPr>
                <w:rFonts w:ascii="Arial" w:eastAsia="Calibri" w:hAnsi="Arial" w:cs="Arial"/>
                <w:b/>
                <w:color w:val="000000" w:themeColor="text1"/>
              </w:rPr>
              <w:t>. (</w:t>
            </w:r>
            <w:r w:rsidRPr="00D46251">
              <w:rPr>
                <w:rFonts w:ascii="Arial" w:eastAsia="Calibri" w:hAnsi="Arial" w:cs="Arial"/>
                <w:b/>
                <w:i/>
                <w:color w:val="000000" w:themeColor="text1"/>
              </w:rPr>
              <w:t>Requirement Met)</w:t>
            </w:r>
          </w:p>
          <w:p w14:paraId="737319E4" w14:textId="77777777" w:rsidR="00D46251" w:rsidRDefault="00D46251" w:rsidP="00A759EC">
            <w:pPr>
              <w:tabs>
                <w:tab w:val="left" w:pos="720"/>
                <w:tab w:val="left" w:pos="9248"/>
              </w:tabs>
              <w:rPr>
                <w:rFonts w:ascii="Arial" w:eastAsia="Calibri" w:hAnsi="Arial" w:cs="Arial"/>
                <w:b/>
                <w:i/>
                <w:color w:val="000000" w:themeColor="text1"/>
              </w:rPr>
            </w:pPr>
          </w:p>
          <w:p w14:paraId="7774E0E0" w14:textId="77777777" w:rsidR="00112751" w:rsidRPr="00112751" w:rsidRDefault="008E1D20" w:rsidP="00A759EC">
            <w:pPr>
              <w:tabs>
                <w:tab w:val="left" w:pos="720"/>
                <w:tab w:val="left" w:pos="9248"/>
              </w:tabs>
              <w:rPr>
                <w:rFonts w:ascii="Arial" w:eastAsia="Calibri" w:hAnsi="Arial" w:cs="Arial"/>
                <w:bCs/>
                <w:iCs/>
                <w:color w:val="000000" w:themeColor="text1"/>
              </w:rPr>
            </w:pPr>
            <w:r w:rsidRPr="00112751">
              <w:rPr>
                <w:rFonts w:ascii="Arial" w:eastAsia="Calibri" w:hAnsi="Arial" w:cs="Arial"/>
                <w:bCs/>
                <w:iCs/>
                <w:color w:val="000000" w:themeColor="text1"/>
              </w:rPr>
              <w:t>The panel was provided with evidence to demonstrate that a</w:t>
            </w:r>
            <w:r w:rsidR="00D46251" w:rsidRPr="00112751">
              <w:rPr>
                <w:rFonts w:ascii="Arial" w:eastAsia="Calibri" w:hAnsi="Arial" w:cs="Arial"/>
                <w:bCs/>
                <w:iCs/>
                <w:color w:val="000000" w:themeColor="text1"/>
              </w:rPr>
              <w:t xml:space="preserve">ssessments are mapped in detail against the learning outcomes and an overall programme blueprint was in place. </w:t>
            </w:r>
            <w:r w:rsidRPr="00112751">
              <w:rPr>
                <w:rFonts w:ascii="Arial" w:eastAsia="Calibri" w:hAnsi="Arial" w:cs="Arial"/>
                <w:bCs/>
                <w:iCs/>
                <w:color w:val="000000" w:themeColor="text1"/>
              </w:rPr>
              <w:t>The inspectors were pleased to note that m</w:t>
            </w:r>
            <w:r w:rsidR="00D46251" w:rsidRPr="00112751">
              <w:rPr>
                <w:rFonts w:ascii="Arial" w:eastAsia="Calibri" w:hAnsi="Arial" w:cs="Arial"/>
                <w:bCs/>
                <w:iCs/>
                <w:color w:val="000000" w:themeColor="text1"/>
              </w:rPr>
              <w:t xml:space="preserve">ethods of assessment are regularly reviewed to ensure that they are fit for purpose and continue to be in line with relevant legislative changes. </w:t>
            </w:r>
          </w:p>
          <w:p w14:paraId="18FF6935" w14:textId="77777777" w:rsidR="00112751" w:rsidRPr="00112751" w:rsidRDefault="00112751" w:rsidP="00A759EC">
            <w:pPr>
              <w:tabs>
                <w:tab w:val="left" w:pos="720"/>
                <w:tab w:val="left" w:pos="9248"/>
              </w:tabs>
              <w:rPr>
                <w:rFonts w:ascii="Arial" w:eastAsia="Calibri" w:hAnsi="Arial" w:cs="Arial"/>
                <w:bCs/>
                <w:iCs/>
                <w:color w:val="000000" w:themeColor="text1"/>
              </w:rPr>
            </w:pPr>
          </w:p>
          <w:p w14:paraId="3D305513" w14:textId="59E3F373" w:rsidR="00D46251" w:rsidRPr="00112751" w:rsidRDefault="008E1D20" w:rsidP="00A759EC">
            <w:pPr>
              <w:tabs>
                <w:tab w:val="left" w:pos="720"/>
                <w:tab w:val="left" w:pos="9248"/>
              </w:tabs>
              <w:rPr>
                <w:rFonts w:ascii="Arial" w:eastAsia="Calibri" w:hAnsi="Arial" w:cs="Arial"/>
                <w:bCs/>
                <w:iCs/>
                <w:color w:val="000000" w:themeColor="text1"/>
              </w:rPr>
            </w:pPr>
            <w:r w:rsidRPr="00112751">
              <w:rPr>
                <w:rFonts w:ascii="Arial" w:eastAsia="Calibri" w:hAnsi="Arial" w:cs="Arial"/>
                <w:bCs/>
                <w:iCs/>
                <w:color w:val="000000" w:themeColor="text1"/>
              </w:rPr>
              <w:t>During the inspection t</w:t>
            </w:r>
            <w:r w:rsidR="00D46251" w:rsidRPr="00112751">
              <w:rPr>
                <w:rFonts w:ascii="Arial" w:eastAsia="Calibri" w:hAnsi="Arial" w:cs="Arial"/>
                <w:bCs/>
                <w:iCs/>
                <w:color w:val="000000" w:themeColor="text1"/>
              </w:rPr>
              <w:t xml:space="preserve">he school provided evidence of changes they have made to assessments to ensure they are reliable, appropriate and compared to best practice. The panel was satisfied that this requirement has been met. </w:t>
            </w:r>
          </w:p>
          <w:p w14:paraId="119CE503" w14:textId="77777777" w:rsidR="00E2148E" w:rsidRPr="00044A9E" w:rsidRDefault="00E2148E" w:rsidP="00A759EC">
            <w:pPr>
              <w:tabs>
                <w:tab w:val="left" w:pos="720"/>
                <w:tab w:val="left" w:pos="9248"/>
              </w:tabs>
              <w:rPr>
                <w:rFonts w:ascii="Arial" w:eastAsia="Calibri" w:hAnsi="Arial" w:cs="Arial"/>
                <w:b/>
                <w:color w:val="000000" w:themeColor="text1"/>
              </w:rPr>
            </w:pPr>
          </w:p>
          <w:p w14:paraId="666F4B9D" w14:textId="276D89D3" w:rsidR="00E2148E" w:rsidRDefault="00E2148E" w:rsidP="00A759EC">
            <w:pPr>
              <w:tabs>
                <w:tab w:val="left" w:pos="720"/>
                <w:tab w:val="left" w:pos="9248"/>
              </w:tabs>
              <w:rPr>
                <w:rFonts w:ascii="Arial" w:eastAsia="Calibri" w:hAnsi="Arial" w:cs="Arial"/>
                <w:b/>
                <w:i/>
                <w:color w:val="000000" w:themeColor="text1"/>
              </w:rPr>
            </w:pPr>
            <w:r w:rsidRPr="00044A9E">
              <w:rPr>
                <w:rFonts w:ascii="Arial" w:eastAsia="Calibri" w:hAnsi="Arial" w:cs="Arial"/>
                <w:b/>
                <w:color w:val="000000" w:themeColor="text1"/>
              </w:rPr>
              <w:t xml:space="preserve">Requirement 17: Assessment must utilise feedback collected from a variety of sources, which should include other members of the dental team, peers, patients and/or customers. </w:t>
            </w:r>
            <w:r w:rsidRPr="004A2E4D">
              <w:rPr>
                <w:rFonts w:ascii="Arial" w:eastAsia="Calibri" w:hAnsi="Arial" w:cs="Arial"/>
                <w:b/>
                <w:i/>
                <w:color w:val="000000" w:themeColor="text1"/>
              </w:rPr>
              <w:t>(Requirement Met)</w:t>
            </w:r>
          </w:p>
          <w:p w14:paraId="6D394935" w14:textId="77777777" w:rsidR="004A2E4D" w:rsidRDefault="004A2E4D" w:rsidP="00A759EC">
            <w:pPr>
              <w:tabs>
                <w:tab w:val="left" w:pos="720"/>
                <w:tab w:val="left" w:pos="9248"/>
              </w:tabs>
              <w:rPr>
                <w:rFonts w:ascii="Arial" w:hAnsi="Arial" w:cs="Arial"/>
                <w:b/>
                <w:i/>
                <w:color w:val="000000" w:themeColor="text1"/>
              </w:rPr>
            </w:pPr>
          </w:p>
          <w:p w14:paraId="5F0E4814" w14:textId="79B1845A" w:rsidR="00706986" w:rsidRPr="008E4CA1" w:rsidRDefault="003B52CA" w:rsidP="00A759EC">
            <w:pPr>
              <w:tabs>
                <w:tab w:val="left" w:pos="720"/>
                <w:tab w:val="left" w:pos="9248"/>
              </w:tabs>
              <w:rPr>
                <w:rFonts w:ascii="Arial" w:hAnsi="Arial" w:cs="Arial"/>
                <w:bCs/>
                <w:iCs/>
                <w:color w:val="000000" w:themeColor="text1"/>
              </w:rPr>
            </w:pPr>
            <w:r w:rsidRPr="008E4CA1">
              <w:rPr>
                <w:rFonts w:ascii="Arial" w:hAnsi="Arial" w:cs="Arial"/>
                <w:bCs/>
                <w:iCs/>
                <w:color w:val="000000" w:themeColor="text1"/>
              </w:rPr>
              <w:t>The panel was provided with evidence to demonstrate that</w:t>
            </w:r>
            <w:r w:rsidR="004A2E4D" w:rsidRPr="008E4CA1">
              <w:rPr>
                <w:rFonts w:ascii="Arial" w:hAnsi="Arial" w:cs="Arial"/>
                <w:bCs/>
                <w:iCs/>
                <w:color w:val="000000" w:themeColor="text1"/>
              </w:rPr>
              <w:t xml:space="preserve"> regular feedback is</w:t>
            </w:r>
            <w:r w:rsidRPr="008E4CA1">
              <w:rPr>
                <w:rFonts w:ascii="Arial" w:hAnsi="Arial" w:cs="Arial"/>
                <w:bCs/>
                <w:iCs/>
                <w:color w:val="000000" w:themeColor="text1"/>
              </w:rPr>
              <w:t xml:space="preserve"> </w:t>
            </w:r>
            <w:r w:rsidR="00804C47" w:rsidRPr="008E4CA1">
              <w:rPr>
                <w:rFonts w:ascii="Arial" w:hAnsi="Arial" w:cs="Arial"/>
                <w:bCs/>
                <w:iCs/>
                <w:color w:val="000000" w:themeColor="text1"/>
              </w:rPr>
              <w:t>provided,</w:t>
            </w:r>
            <w:r w:rsidR="004A2E4D" w:rsidRPr="008E4CA1">
              <w:rPr>
                <w:rFonts w:ascii="Arial" w:hAnsi="Arial" w:cs="Arial"/>
                <w:bCs/>
                <w:iCs/>
                <w:color w:val="000000" w:themeColor="text1"/>
              </w:rPr>
              <w:t xml:space="preserve"> and the school proactively </w:t>
            </w:r>
            <w:r w:rsidR="009B547B" w:rsidRPr="008E4CA1">
              <w:rPr>
                <w:rFonts w:ascii="Arial" w:hAnsi="Arial" w:cs="Arial"/>
                <w:bCs/>
                <w:iCs/>
                <w:color w:val="000000" w:themeColor="text1"/>
              </w:rPr>
              <w:t xml:space="preserve">manages </w:t>
            </w:r>
            <w:r w:rsidR="004A2E4D" w:rsidRPr="008E4CA1">
              <w:rPr>
                <w:rFonts w:ascii="Arial" w:hAnsi="Arial" w:cs="Arial"/>
                <w:bCs/>
                <w:iCs/>
                <w:color w:val="000000" w:themeColor="text1"/>
              </w:rPr>
              <w:t xml:space="preserve">any concerns </w:t>
            </w:r>
            <w:r w:rsidR="009B547B" w:rsidRPr="008E4CA1">
              <w:rPr>
                <w:rFonts w:ascii="Arial" w:hAnsi="Arial" w:cs="Arial"/>
                <w:bCs/>
                <w:iCs/>
                <w:color w:val="000000" w:themeColor="text1"/>
              </w:rPr>
              <w:t>identified</w:t>
            </w:r>
            <w:r w:rsidR="004A2E4D" w:rsidRPr="008E4CA1">
              <w:rPr>
                <w:rFonts w:ascii="Arial" w:hAnsi="Arial" w:cs="Arial"/>
                <w:bCs/>
                <w:iCs/>
                <w:color w:val="000000" w:themeColor="text1"/>
              </w:rPr>
              <w:t xml:space="preserve">. Feedback is used appropriately to ensure the experience of both staff and students is at the highest level. </w:t>
            </w:r>
            <w:r w:rsidR="00097947">
              <w:rPr>
                <w:rFonts w:ascii="Arial" w:hAnsi="Arial" w:cs="Arial"/>
                <w:bCs/>
                <w:iCs/>
                <w:color w:val="000000" w:themeColor="text1"/>
              </w:rPr>
              <w:t>The Patient Recorded Experience Measures (PREMs) system is</w:t>
            </w:r>
            <w:r w:rsidR="004A2E4D" w:rsidRPr="008E4CA1">
              <w:rPr>
                <w:rFonts w:ascii="Arial" w:hAnsi="Arial" w:cs="Arial"/>
                <w:bCs/>
                <w:iCs/>
                <w:color w:val="000000" w:themeColor="text1"/>
              </w:rPr>
              <w:t xml:space="preserve"> used to supplement LiftUpp which enables the school to make relevant changes based on the given feedback.</w:t>
            </w:r>
            <w:r w:rsidR="00867979" w:rsidRPr="008E4CA1">
              <w:rPr>
                <w:rFonts w:ascii="Arial" w:hAnsi="Arial" w:cs="Arial"/>
                <w:bCs/>
                <w:iCs/>
                <w:color w:val="000000" w:themeColor="text1"/>
              </w:rPr>
              <w:t xml:space="preserve"> </w:t>
            </w:r>
          </w:p>
          <w:p w14:paraId="42E17E3A" w14:textId="77777777" w:rsidR="000A3771" w:rsidRPr="008E4CA1" w:rsidRDefault="000A3771" w:rsidP="00A759EC">
            <w:pPr>
              <w:tabs>
                <w:tab w:val="left" w:pos="720"/>
                <w:tab w:val="left" w:pos="9248"/>
              </w:tabs>
              <w:rPr>
                <w:rFonts w:ascii="Arial" w:hAnsi="Arial" w:cs="Arial"/>
                <w:bCs/>
                <w:iCs/>
                <w:color w:val="000000" w:themeColor="text1"/>
              </w:rPr>
            </w:pPr>
          </w:p>
          <w:p w14:paraId="0D1249B6" w14:textId="4FBEF446" w:rsidR="004A2E4D" w:rsidRPr="008E4CA1" w:rsidRDefault="004A2E4D" w:rsidP="00A759EC">
            <w:pPr>
              <w:tabs>
                <w:tab w:val="left" w:pos="720"/>
                <w:tab w:val="left" w:pos="9248"/>
              </w:tabs>
              <w:rPr>
                <w:rFonts w:ascii="Arial" w:hAnsi="Arial" w:cs="Arial"/>
                <w:bCs/>
                <w:iCs/>
                <w:color w:val="000000" w:themeColor="text1"/>
              </w:rPr>
            </w:pPr>
            <w:r w:rsidRPr="008E4CA1">
              <w:rPr>
                <w:rFonts w:ascii="Arial" w:hAnsi="Arial" w:cs="Arial"/>
                <w:bCs/>
                <w:iCs/>
                <w:color w:val="000000" w:themeColor="text1"/>
              </w:rPr>
              <w:t>The panel saw evidence of assessors asking for patient feedback following a student appointment feeding directly into the overall assessment of the student.</w:t>
            </w:r>
            <w:r w:rsidR="000A3771" w:rsidRPr="008E4CA1">
              <w:rPr>
                <w:rFonts w:ascii="Arial" w:hAnsi="Arial" w:cs="Arial"/>
                <w:bCs/>
                <w:iCs/>
                <w:color w:val="000000" w:themeColor="text1"/>
              </w:rPr>
              <w:t xml:space="preserve"> F</w:t>
            </w:r>
            <w:r w:rsidR="00373A51" w:rsidRPr="008E4CA1">
              <w:rPr>
                <w:rFonts w:ascii="Arial" w:hAnsi="Arial" w:cs="Arial"/>
                <w:bCs/>
                <w:iCs/>
                <w:color w:val="000000" w:themeColor="text1"/>
              </w:rPr>
              <w:t>eedback is received by the year leads at the end of each</w:t>
            </w:r>
            <w:r w:rsidR="000A3771" w:rsidRPr="008E4CA1">
              <w:rPr>
                <w:rFonts w:ascii="Arial" w:hAnsi="Arial" w:cs="Arial"/>
                <w:bCs/>
                <w:iCs/>
                <w:color w:val="000000" w:themeColor="text1"/>
              </w:rPr>
              <w:t xml:space="preserve"> programme</w:t>
            </w:r>
            <w:r w:rsidR="00373A51" w:rsidRPr="008E4CA1">
              <w:rPr>
                <w:rFonts w:ascii="Arial" w:hAnsi="Arial" w:cs="Arial"/>
                <w:bCs/>
                <w:iCs/>
                <w:color w:val="000000" w:themeColor="text1"/>
              </w:rPr>
              <w:t xml:space="preserve"> component and this feeds into the review of that unit to ensure student experience is maximised. </w:t>
            </w:r>
            <w:r w:rsidRPr="008E4CA1">
              <w:rPr>
                <w:rFonts w:ascii="Arial" w:hAnsi="Arial" w:cs="Arial"/>
                <w:bCs/>
                <w:iCs/>
                <w:color w:val="000000" w:themeColor="text1"/>
              </w:rPr>
              <w:t xml:space="preserve">The panel </w:t>
            </w:r>
            <w:r w:rsidR="000A3771" w:rsidRPr="008E4CA1">
              <w:rPr>
                <w:rFonts w:ascii="Arial" w:hAnsi="Arial" w:cs="Arial"/>
                <w:bCs/>
                <w:iCs/>
                <w:color w:val="000000" w:themeColor="text1"/>
              </w:rPr>
              <w:t>was</w:t>
            </w:r>
            <w:r w:rsidRPr="008E4CA1">
              <w:rPr>
                <w:rFonts w:ascii="Arial" w:hAnsi="Arial" w:cs="Arial"/>
                <w:bCs/>
                <w:iCs/>
                <w:color w:val="000000" w:themeColor="text1"/>
              </w:rPr>
              <w:t xml:space="preserve"> assured that the school ha</w:t>
            </w:r>
            <w:r w:rsidR="000A3771" w:rsidRPr="008E4CA1">
              <w:rPr>
                <w:rFonts w:ascii="Arial" w:hAnsi="Arial" w:cs="Arial"/>
                <w:bCs/>
                <w:iCs/>
                <w:color w:val="000000" w:themeColor="text1"/>
              </w:rPr>
              <w:t>s</w:t>
            </w:r>
            <w:r w:rsidRPr="008E4CA1">
              <w:rPr>
                <w:rFonts w:ascii="Arial" w:hAnsi="Arial" w:cs="Arial"/>
                <w:bCs/>
                <w:iCs/>
                <w:color w:val="000000" w:themeColor="text1"/>
              </w:rPr>
              <w:t xml:space="preserve"> methods in place to collect</w:t>
            </w:r>
            <w:r w:rsidR="008E4CA1" w:rsidRPr="008E4CA1">
              <w:rPr>
                <w:rFonts w:ascii="Arial" w:hAnsi="Arial" w:cs="Arial"/>
                <w:bCs/>
                <w:iCs/>
                <w:color w:val="000000" w:themeColor="text1"/>
              </w:rPr>
              <w:t xml:space="preserve"> and utilise</w:t>
            </w:r>
            <w:r w:rsidRPr="008E4CA1">
              <w:rPr>
                <w:rFonts w:ascii="Arial" w:hAnsi="Arial" w:cs="Arial"/>
                <w:bCs/>
                <w:iCs/>
                <w:color w:val="000000" w:themeColor="text1"/>
              </w:rPr>
              <w:t xml:space="preserve"> feedback from a variety of sources</w:t>
            </w:r>
            <w:r w:rsidR="008E4CA1" w:rsidRPr="008E4CA1">
              <w:rPr>
                <w:rFonts w:ascii="Arial" w:hAnsi="Arial" w:cs="Arial"/>
                <w:bCs/>
                <w:iCs/>
                <w:color w:val="000000" w:themeColor="text1"/>
              </w:rPr>
              <w:t>.</w:t>
            </w:r>
          </w:p>
          <w:p w14:paraId="56B4B454" w14:textId="77777777" w:rsidR="00E2148E" w:rsidRPr="00044A9E" w:rsidRDefault="00E2148E" w:rsidP="00A759EC">
            <w:pPr>
              <w:rPr>
                <w:rFonts w:ascii="Arial" w:hAnsi="Arial" w:cs="Arial"/>
                <w:color w:val="000000" w:themeColor="text1"/>
              </w:rPr>
            </w:pPr>
            <w:r w:rsidRPr="00044A9E">
              <w:rPr>
                <w:rFonts w:ascii="Arial" w:hAnsi="Arial" w:cs="Arial"/>
                <w:color w:val="000000" w:themeColor="text1"/>
              </w:rPr>
              <w:t xml:space="preserve"> </w:t>
            </w:r>
          </w:p>
          <w:p w14:paraId="04E55FE7" w14:textId="26D54FA7" w:rsidR="00E2148E" w:rsidRPr="00044A9E" w:rsidRDefault="00E2148E" w:rsidP="00A759EC">
            <w:pPr>
              <w:tabs>
                <w:tab w:val="left" w:pos="720"/>
                <w:tab w:val="left" w:pos="9248"/>
              </w:tabs>
              <w:rPr>
                <w:rFonts w:ascii="Arial" w:eastAsia="Calibri" w:hAnsi="Arial" w:cs="Arial"/>
                <w:b/>
                <w:i/>
                <w:color w:val="000000" w:themeColor="text1"/>
              </w:rPr>
            </w:pPr>
            <w:r w:rsidRPr="00044A9E">
              <w:rPr>
                <w:rFonts w:ascii="Arial" w:eastAsia="Calibri" w:hAnsi="Arial" w:cs="Arial"/>
                <w:b/>
                <w:color w:val="000000" w:themeColor="text1"/>
              </w:rPr>
              <w:t xml:space="preserve">Requirement 18: The provider must support students to improve their performance by providing </w:t>
            </w:r>
            <w:r w:rsidRPr="00017CC6">
              <w:rPr>
                <w:rFonts w:ascii="Arial" w:eastAsia="Calibri" w:hAnsi="Arial" w:cs="Arial"/>
                <w:b/>
                <w:color w:val="000000" w:themeColor="text1"/>
              </w:rPr>
              <w:t xml:space="preserve">regular feedback and by encouraging students to reflect on their practice. </w:t>
            </w:r>
            <w:r w:rsidRPr="00017CC6">
              <w:rPr>
                <w:rFonts w:ascii="Arial" w:eastAsia="Calibri" w:hAnsi="Arial" w:cs="Arial"/>
                <w:b/>
                <w:i/>
                <w:color w:val="000000" w:themeColor="text1"/>
              </w:rPr>
              <w:t>(Requirement Met)</w:t>
            </w:r>
          </w:p>
          <w:p w14:paraId="6E9CE27A" w14:textId="77777777" w:rsidR="00E2148E" w:rsidRDefault="00E2148E" w:rsidP="00A759EC">
            <w:pPr>
              <w:tabs>
                <w:tab w:val="left" w:pos="720"/>
                <w:tab w:val="left" w:pos="9248"/>
              </w:tabs>
              <w:rPr>
                <w:rFonts w:ascii="Arial" w:eastAsia="Calibri" w:hAnsi="Arial" w:cs="Arial"/>
                <w:color w:val="000000" w:themeColor="text1"/>
              </w:rPr>
            </w:pPr>
          </w:p>
          <w:p w14:paraId="72B19068" w14:textId="2306999B" w:rsidR="001D4CE4" w:rsidRDefault="001D4CE4"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During the inspection the panel was provided with a demonstration of how LiftUpp can be used to enhance the student experience. The panel was informed that </w:t>
            </w:r>
            <w:r w:rsidRPr="001D4CE4">
              <w:rPr>
                <w:rFonts w:ascii="Arial" w:eastAsia="Calibri" w:hAnsi="Arial" w:cs="Arial"/>
                <w:color w:val="000000" w:themeColor="text1"/>
              </w:rPr>
              <w:t xml:space="preserve">LiftUpp helps students </w:t>
            </w:r>
            <w:r>
              <w:rPr>
                <w:rFonts w:ascii="Arial" w:eastAsia="Calibri" w:hAnsi="Arial" w:cs="Arial"/>
                <w:color w:val="000000" w:themeColor="text1"/>
              </w:rPr>
              <w:t xml:space="preserve">develop </w:t>
            </w:r>
            <w:r w:rsidRPr="001D4CE4">
              <w:rPr>
                <w:rFonts w:ascii="Arial" w:eastAsia="Calibri" w:hAnsi="Arial" w:cs="Arial"/>
                <w:color w:val="000000" w:themeColor="text1"/>
              </w:rPr>
              <w:t>by encouraging reflection</w:t>
            </w:r>
            <w:r w:rsidR="00D6364D">
              <w:rPr>
                <w:rFonts w:ascii="Arial" w:eastAsia="Calibri" w:hAnsi="Arial" w:cs="Arial"/>
                <w:color w:val="000000" w:themeColor="text1"/>
              </w:rPr>
              <w:t xml:space="preserve"> after each clinical experience</w:t>
            </w:r>
            <w:r w:rsidRPr="001D4CE4">
              <w:rPr>
                <w:rFonts w:ascii="Arial" w:eastAsia="Calibri" w:hAnsi="Arial" w:cs="Arial"/>
                <w:color w:val="000000" w:themeColor="text1"/>
              </w:rPr>
              <w:t xml:space="preserve">. </w:t>
            </w:r>
            <w:r w:rsidR="00480FD4">
              <w:rPr>
                <w:rFonts w:ascii="Arial" w:eastAsia="Calibri" w:hAnsi="Arial" w:cs="Arial"/>
                <w:color w:val="000000" w:themeColor="text1"/>
              </w:rPr>
              <w:t xml:space="preserve">LiftUpp enables both students and supervisors to provide feedback and reflect </w:t>
            </w:r>
            <w:r w:rsidR="00C036BD">
              <w:rPr>
                <w:rFonts w:ascii="Arial" w:eastAsia="Calibri" w:hAnsi="Arial" w:cs="Arial"/>
                <w:color w:val="000000" w:themeColor="text1"/>
              </w:rPr>
              <w:t xml:space="preserve">contemporaneously, resulting in a more efficient and effective approach. </w:t>
            </w:r>
          </w:p>
          <w:p w14:paraId="572C5547" w14:textId="77777777" w:rsidR="00C036BD" w:rsidRDefault="00C036BD" w:rsidP="00A759EC">
            <w:pPr>
              <w:tabs>
                <w:tab w:val="left" w:pos="720"/>
                <w:tab w:val="left" w:pos="9248"/>
              </w:tabs>
              <w:rPr>
                <w:rFonts w:ascii="Arial" w:eastAsia="Calibri" w:hAnsi="Arial" w:cs="Arial"/>
                <w:color w:val="000000" w:themeColor="text1"/>
              </w:rPr>
            </w:pPr>
          </w:p>
          <w:p w14:paraId="0A603546" w14:textId="53F88668" w:rsidR="00C036BD" w:rsidRDefault="00097947"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In addition to the PREMs system noted in Requirement 17, </w:t>
            </w:r>
            <w:r w:rsidR="00162D52">
              <w:rPr>
                <w:rFonts w:ascii="Arial" w:eastAsia="Calibri" w:hAnsi="Arial" w:cs="Arial"/>
                <w:color w:val="000000" w:themeColor="text1"/>
              </w:rPr>
              <w:t xml:space="preserve">the school </w:t>
            </w:r>
            <w:r w:rsidR="00B61B3C">
              <w:rPr>
                <w:rFonts w:ascii="Arial" w:eastAsia="Calibri" w:hAnsi="Arial" w:cs="Arial"/>
                <w:color w:val="000000" w:themeColor="text1"/>
              </w:rPr>
              <w:t xml:space="preserve">utilises the </w:t>
            </w:r>
            <w:r w:rsidR="00B7038E">
              <w:rPr>
                <w:rFonts w:ascii="Arial" w:eastAsia="Calibri" w:hAnsi="Arial" w:cs="Arial"/>
                <w:color w:val="000000" w:themeColor="text1"/>
              </w:rPr>
              <w:t>Student Recorded Experience Measures</w:t>
            </w:r>
            <w:r w:rsidR="003D2B6B">
              <w:rPr>
                <w:rFonts w:ascii="Arial" w:eastAsia="Calibri" w:hAnsi="Arial" w:cs="Arial"/>
                <w:color w:val="000000" w:themeColor="text1"/>
              </w:rPr>
              <w:t xml:space="preserve"> (SREM</w:t>
            </w:r>
            <w:r w:rsidR="00207120">
              <w:rPr>
                <w:rFonts w:ascii="Arial" w:eastAsia="Calibri" w:hAnsi="Arial" w:cs="Arial"/>
                <w:color w:val="000000" w:themeColor="text1"/>
              </w:rPr>
              <w:t>S) system for student feedback</w:t>
            </w:r>
            <w:r w:rsidR="00B25785">
              <w:rPr>
                <w:rFonts w:ascii="Arial" w:eastAsia="Calibri" w:hAnsi="Arial" w:cs="Arial"/>
                <w:color w:val="000000" w:themeColor="text1"/>
              </w:rPr>
              <w:t xml:space="preserve"> to staff</w:t>
            </w:r>
            <w:r w:rsidR="00207120">
              <w:rPr>
                <w:rFonts w:ascii="Arial" w:eastAsia="Calibri" w:hAnsi="Arial" w:cs="Arial"/>
                <w:color w:val="000000" w:themeColor="text1"/>
              </w:rPr>
              <w:t xml:space="preserve">. </w:t>
            </w:r>
            <w:r w:rsidR="000F09C6">
              <w:rPr>
                <w:rFonts w:ascii="Arial" w:eastAsia="Calibri" w:hAnsi="Arial" w:cs="Arial"/>
                <w:color w:val="000000" w:themeColor="text1"/>
              </w:rPr>
              <w:t xml:space="preserve">During the inspection the panel were provided with an opportunity to review </w:t>
            </w:r>
            <w:r w:rsidR="002B5931">
              <w:rPr>
                <w:rFonts w:ascii="Arial" w:eastAsia="Calibri" w:hAnsi="Arial" w:cs="Arial"/>
                <w:color w:val="000000" w:themeColor="text1"/>
              </w:rPr>
              <w:t xml:space="preserve">SREMS data from the graduating cohort and were satisfied with its effectiveness. </w:t>
            </w:r>
          </w:p>
          <w:p w14:paraId="4F915555" w14:textId="77777777" w:rsidR="002B5931" w:rsidRDefault="002B5931" w:rsidP="00A759EC">
            <w:pPr>
              <w:tabs>
                <w:tab w:val="left" w:pos="720"/>
                <w:tab w:val="left" w:pos="9248"/>
              </w:tabs>
              <w:rPr>
                <w:rFonts w:ascii="Arial" w:eastAsia="Calibri" w:hAnsi="Arial" w:cs="Arial"/>
                <w:color w:val="000000" w:themeColor="text1"/>
              </w:rPr>
            </w:pPr>
          </w:p>
          <w:p w14:paraId="740AF6CB" w14:textId="2157EBC3" w:rsidR="00FD52AB" w:rsidRPr="00FD52AB" w:rsidRDefault="00FD52AB" w:rsidP="00FD52AB">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panel noted </w:t>
            </w:r>
            <w:r w:rsidR="009A675C">
              <w:rPr>
                <w:rFonts w:ascii="Arial" w:eastAsia="Calibri" w:hAnsi="Arial" w:cs="Arial"/>
                <w:color w:val="000000" w:themeColor="text1"/>
              </w:rPr>
              <w:t>that t</w:t>
            </w:r>
            <w:r w:rsidRPr="00FD52AB">
              <w:rPr>
                <w:rFonts w:ascii="Arial" w:eastAsia="Calibri" w:hAnsi="Arial" w:cs="Arial"/>
                <w:color w:val="000000" w:themeColor="text1"/>
              </w:rPr>
              <w:t xml:space="preserve">o support </w:t>
            </w:r>
            <w:r w:rsidR="009A675C">
              <w:rPr>
                <w:rFonts w:ascii="Arial" w:eastAsia="Calibri" w:hAnsi="Arial" w:cs="Arial"/>
                <w:color w:val="000000" w:themeColor="text1"/>
              </w:rPr>
              <w:t xml:space="preserve">students reflecting on their performance </w:t>
            </w:r>
            <w:r w:rsidRPr="00FD52AB">
              <w:rPr>
                <w:rFonts w:ascii="Arial" w:eastAsia="Calibri" w:hAnsi="Arial" w:cs="Arial"/>
                <w:color w:val="000000" w:themeColor="text1"/>
              </w:rPr>
              <w:t xml:space="preserve">following </w:t>
            </w:r>
            <w:r w:rsidR="009A675C">
              <w:rPr>
                <w:rFonts w:ascii="Arial" w:eastAsia="Calibri" w:hAnsi="Arial" w:cs="Arial"/>
                <w:color w:val="000000" w:themeColor="text1"/>
              </w:rPr>
              <w:t>assessments, the programme</w:t>
            </w:r>
            <w:r w:rsidRPr="00FD52AB">
              <w:rPr>
                <w:rFonts w:ascii="Arial" w:eastAsia="Calibri" w:hAnsi="Arial" w:cs="Arial"/>
                <w:color w:val="000000" w:themeColor="text1"/>
              </w:rPr>
              <w:t xml:space="preserve"> use</w:t>
            </w:r>
            <w:r w:rsidR="009A675C">
              <w:rPr>
                <w:rFonts w:ascii="Arial" w:eastAsia="Calibri" w:hAnsi="Arial" w:cs="Arial"/>
                <w:color w:val="000000" w:themeColor="text1"/>
              </w:rPr>
              <w:t>s</w:t>
            </w:r>
            <w:r w:rsidRPr="00FD52AB">
              <w:rPr>
                <w:rFonts w:ascii="Arial" w:eastAsia="Calibri" w:hAnsi="Arial" w:cs="Arial"/>
                <w:color w:val="000000" w:themeColor="text1"/>
              </w:rPr>
              <w:t xml:space="preserve"> a style</w:t>
            </w:r>
            <w:r w:rsidR="003B5673">
              <w:rPr>
                <w:rFonts w:ascii="Arial" w:eastAsia="Calibri" w:hAnsi="Arial" w:cs="Arial"/>
                <w:color w:val="000000" w:themeColor="text1"/>
              </w:rPr>
              <w:t xml:space="preserve"> of feedback</w:t>
            </w:r>
            <w:r w:rsidRPr="00FD52AB">
              <w:rPr>
                <w:rFonts w:ascii="Arial" w:eastAsia="Calibri" w:hAnsi="Arial" w:cs="Arial"/>
                <w:color w:val="000000" w:themeColor="text1"/>
              </w:rPr>
              <w:t xml:space="preserve"> that aims to focus students on </w:t>
            </w:r>
            <w:r w:rsidR="003B5673">
              <w:rPr>
                <w:rFonts w:ascii="Arial" w:eastAsia="Calibri" w:hAnsi="Arial" w:cs="Arial"/>
                <w:color w:val="000000" w:themeColor="text1"/>
              </w:rPr>
              <w:t xml:space="preserve">areas for development </w:t>
            </w:r>
            <w:r w:rsidRPr="00FD52AB">
              <w:rPr>
                <w:rFonts w:ascii="Arial" w:eastAsia="Calibri" w:hAnsi="Arial" w:cs="Arial"/>
                <w:color w:val="000000" w:themeColor="text1"/>
              </w:rPr>
              <w:t xml:space="preserve">in their learning </w:t>
            </w:r>
            <w:r w:rsidR="007F433A">
              <w:rPr>
                <w:rFonts w:ascii="Arial" w:eastAsia="Calibri" w:hAnsi="Arial" w:cs="Arial"/>
                <w:color w:val="000000" w:themeColor="text1"/>
              </w:rPr>
              <w:t>by identifying topics</w:t>
            </w:r>
            <w:r w:rsidRPr="00FD52AB">
              <w:rPr>
                <w:rFonts w:ascii="Arial" w:eastAsia="Calibri" w:hAnsi="Arial" w:cs="Arial"/>
                <w:color w:val="000000" w:themeColor="text1"/>
              </w:rPr>
              <w:t xml:space="preserve"> that fall below the minimally competent standard.</w:t>
            </w:r>
          </w:p>
          <w:p w14:paraId="00329430" w14:textId="77777777" w:rsidR="00F50C2B" w:rsidRPr="00044A9E" w:rsidRDefault="00F50C2B" w:rsidP="00A759EC">
            <w:pPr>
              <w:tabs>
                <w:tab w:val="left" w:pos="720"/>
                <w:tab w:val="left" w:pos="9248"/>
              </w:tabs>
              <w:rPr>
                <w:rFonts w:ascii="Arial" w:eastAsia="Calibri" w:hAnsi="Arial" w:cs="Arial"/>
                <w:color w:val="000000" w:themeColor="text1"/>
              </w:rPr>
            </w:pPr>
          </w:p>
          <w:p w14:paraId="63D6A4C4" w14:textId="32BB9E5E" w:rsidR="00E2148E" w:rsidRPr="00044A9E" w:rsidRDefault="00E2148E" w:rsidP="00A759EC">
            <w:pPr>
              <w:tabs>
                <w:tab w:val="left" w:pos="720"/>
                <w:tab w:val="left" w:pos="9248"/>
              </w:tabs>
              <w:rPr>
                <w:rFonts w:ascii="Arial" w:eastAsia="Calibri" w:hAnsi="Arial" w:cs="Arial"/>
                <w:b/>
                <w:i/>
                <w:color w:val="000000" w:themeColor="text1"/>
              </w:rPr>
            </w:pPr>
            <w:r w:rsidRPr="00044A9E">
              <w:rPr>
                <w:rFonts w:ascii="Arial" w:eastAsia="Calibri" w:hAnsi="Arial" w:cs="Arial"/>
                <w:b/>
                <w:color w:val="000000" w:themeColor="text1"/>
              </w:rPr>
              <w:t xml:space="preserve">Requirement 19: Examiners/assessors must have appropriate skills, experience and training to undertake the task of assessment, including </w:t>
            </w:r>
            <w:r w:rsidRPr="00017CC6">
              <w:rPr>
                <w:rFonts w:ascii="Arial" w:eastAsia="Calibri" w:hAnsi="Arial" w:cs="Arial"/>
                <w:b/>
                <w:color w:val="000000" w:themeColor="text1"/>
              </w:rPr>
              <w:t xml:space="preserve">appropriate general or specialist registration with a UK regulatory body. Examiners/ assessors should have received training in equality and diversity relevant for their role. </w:t>
            </w:r>
            <w:r w:rsidRPr="00017CC6">
              <w:rPr>
                <w:rFonts w:ascii="Arial" w:eastAsia="Calibri" w:hAnsi="Arial" w:cs="Arial"/>
                <w:b/>
                <w:i/>
                <w:color w:val="000000" w:themeColor="text1"/>
              </w:rPr>
              <w:t>(Requirement Met)</w:t>
            </w:r>
          </w:p>
          <w:p w14:paraId="3C7BEF6F" w14:textId="77777777" w:rsidR="00E2148E" w:rsidRDefault="00E2148E" w:rsidP="00A759EC">
            <w:pPr>
              <w:tabs>
                <w:tab w:val="left" w:pos="720"/>
                <w:tab w:val="left" w:pos="9248"/>
              </w:tabs>
              <w:rPr>
                <w:rFonts w:ascii="Arial" w:eastAsia="Calibri" w:hAnsi="Arial" w:cs="Arial"/>
                <w:bCs/>
                <w:iCs/>
                <w:color w:val="000000" w:themeColor="text1"/>
              </w:rPr>
            </w:pPr>
          </w:p>
          <w:p w14:paraId="2F0B086B" w14:textId="16708495" w:rsidR="005F525E" w:rsidRDefault="005F525E"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As part of the inspection process the panel was provided with evidence of </w:t>
            </w:r>
            <w:r w:rsidR="00B1059E">
              <w:rPr>
                <w:rFonts w:ascii="Arial" w:eastAsia="Calibri" w:hAnsi="Arial" w:cs="Arial"/>
                <w:bCs/>
                <w:iCs/>
                <w:color w:val="000000" w:themeColor="text1"/>
              </w:rPr>
              <w:t xml:space="preserve">examiner knowledge, skills and experience. This included having the opportunity to review CPD records for </w:t>
            </w:r>
            <w:r w:rsidR="004B1E1C">
              <w:rPr>
                <w:rFonts w:ascii="Arial" w:eastAsia="Calibri" w:hAnsi="Arial" w:cs="Arial"/>
                <w:bCs/>
                <w:iCs/>
                <w:color w:val="000000" w:themeColor="text1"/>
              </w:rPr>
              <w:t xml:space="preserve">relevant </w:t>
            </w:r>
            <w:r w:rsidR="00B1059E">
              <w:rPr>
                <w:rFonts w:ascii="Arial" w:eastAsia="Calibri" w:hAnsi="Arial" w:cs="Arial"/>
                <w:bCs/>
                <w:iCs/>
                <w:color w:val="000000" w:themeColor="text1"/>
              </w:rPr>
              <w:t xml:space="preserve">staff members. </w:t>
            </w:r>
            <w:r w:rsidR="00371BF8">
              <w:rPr>
                <w:rFonts w:ascii="Arial" w:eastAsia="Calibri" w:hAnsi="Arial" w:cs="Arial"/>
                <w:bCs/>
                <w:iCs/>
                <w:color w:val="000000" w:themeColor="text1"/>
              </w:rPr>
              <w:t xml:space="preserve">The panel was assured that the school took </w:t>
            </w:r>
            <w:r w:rsidR="008B2A55">
              <w:rPr>
                <w:rFonts w:ascii="Arial" w:eastAsia="Calibri" w:hAnsi="Arial" w:cs="Arial"/>
                <w:bCs/>
                <w:iCs/>
                <w:color w:val="000000" w:themeColor="text1"/>
              </w:rPr>
              <w:t>the training of examiners seri</w:t>
            </w:r>
            <w:r w:rsidR="00FF2AD7">
              <w:rPr>
                <w:rFonts w:ascii="Arial" w:eastAsia="Calibri" w:hAnsi="Arial" w:cs="Arial"/>
                <w:bCs/>
                <w:iCs/>
                <w:color w:val="000000" w:themeColor="text1"/>
              </w:rPr>
              <w:t>ously, as evidenced by being informed that</w:t>
            </w:r>
            <w:r w:rsidR="00FF2AD7" w:rsidRPr="00FF2AD7">
              <w:rPr>
                <w:rFonts w:ascii="Arial" w:eastAsia="Calibri" w:hAnsi="Arial" w:cs="Arial"/>
                <w:bCs/>
                <w:iCs/>
                <w:color w:val="000000" w:themeColor="text1"/>
              </w:rPr>
              <w:t xml:space="preserve"> </w:t>
            </w:r>
            <w:r w:rsidR="004B1E1C">
              <w:rPr>
                <w:rFonts w:ascii="Arial" w:eastAsia="Calibri" w:hAnsi="Arial" w:cs="Arial"/>
                <w:bCs/>
                <w:iCs/>
                <w:color w:val="000000" w:themeColor="text1"/>
              </w:rPr>
              <w:t xml:space="preserve">the </w:t>
            </w:r>
            <w:r w:rsidR="00FF2AD7" w:rsidRPr="00FF2AD7">
              <w:rPr>
                <w:rFonts w:ascii="Arial" w:eastAsia="Calibri" w:hAnsi="Arial" w:cs="Arial"/>
                <w:bCs/>
                <w:iCs/>
                <w:color w:val="000000" w:themeColor="text1"/>
              </w:rPr>
              <w:t>Vice</w:t>
            </w:r>
            <w:r w:rsidR="00FF2AD7">
              <w:rPr>
                <w:rFonts w:ascii="Arial" w:eastAsia="Calibri" w:hAnsi="Arial" w:cs="Arial"/>
                <w:bCs/>
                <w:iCs/>
                <w:color w:val="000000" w:themeColor="text1"/>
              </w:rPr>
              <w:t>-</w:t>
            </w:r>
            <w:r w:rsidR="00FF2AD7" w:rsidRPr="00FF2AD7">
              <w:rPr>
                <w:rFonts w:ascii="Arial" w:eastAsia="Calibri" w:hAnsi="Arial" w:cs="Arial"/>
                <w:bCs/>
                <w:iCs/>
                <w:color w:val="000000" w:themeColor="text1"/>
              </w:rPr>
              <w:t xml:space="preserve">Dean for Education and </w:t>
            </w:r>
            <w:r w:rsidR="00FF2AD7" w:rsidRPr="00FF2AD7">
              <w:rPr>
                <w:rFonts w:ascii="Arial" w:eastAsia="Calibri" w:hAnsi="Arial" w:cs="Arial"/>
                <w:bCs/>
                <w:iCs/>
                <w:color w:val="000000" w:themeColor="text1"/>
              </w:rPr>
              <w:lastRenderedPageBreak/>
              <w:t>Scholarship h</w:t>
            </w:r>
            <w:r w:rsidR="00FF2AD7">
              <w:rPr>
                <w:rFonts w:ascii="Arial" w:eastAsia="Calibri" w:hAnsi="Arial" w:cs="Arial"/>
                <w:bCs/>
                <w:iCs/>
                <w:color w:val="000000" w:themeColor="text1"/>
              </w:rPr>
              <w:t>olds</w:t>
            </w:r>
            <w:r w:rsidR="00FF2AD7" w:rsidRPr="00FF2AD7">
              <w:rPr>
                <w:rFonts w:ascii="Arial" w:eastAsia="Calibri" w:hAnsi="Arial" w:cs="Arial"/>
                <w:bCs/>
                <w:iCs/>
                <w:color w:val="000000" w:themeColor="text1"/>
              </w:rPr>
              <w:t xml:space="preserve"> training sessions </w:t>
            </w:r>
            <w:r w:rsidR="00EC63BC">
              <w:rPr>
                <w:rFonts w:ascii="Arial" w:eastAsia="Calibri" w:hAnsi="Arial" w:cs="Arial"/>
                <w:bCs/>
                <w:iCs/>
                <w:color w:val="000000" w:themeColor="text1"/>
              </w:rPr>
              <w:t>on</w:t>
            </w:r>
            <w:r w:rsidR="00FF2AD7" w:rsidRPr="00FF2AD7">
              <w:rPr>
                <w:rFonts w:ascii="Arial" w:eastAsia="Calibri" w:hAnsi="Arial" w:cs="Arial"/>
                <w:bCs/>
                <w:iCs/>
                <w:color w:val="000000" w:themeColor="text1"/>
              </w:rPr>
              <w:t xml:space="preserve"> question writing for key staff</w:t>
            </w:r>
            <w:r w:rsidR="00EC63BC">
              <w:rPr>
                <w:rFonts w:ascii="Arial" w:eastAsia="Calibri" w:hAnsi="Arial" w:cs="Arial"/>
                <w:bCs/>
                <w:iCs/>
                <w:color w:val="000000" w:themeColor="text1"/>
              </w:rPr>
              <w:t xml:space="preserve"> members</w:t>
            </w:r>
            <w:r w:rsidR="00FF2AD7" w:rsidRPr="00FF2AD7">
              <w:rPr>
                <w:rFonts w:ascii="Arial" w:eastAsia="Calibri" w:hAnsi="Arial" w:cs="Arial"/>
                <w:bCs/>
                <w:iCs/>
                <w:color w:val="000000" w:themeColor="text1"/>
              </w:rPr>
              <w:t>, as well as provid</w:t>
            </w:r>
            <w:r w:rsidR="000D525C">
              <w:rPr>
                <w:rFonts w:ascii="Arial" w:eastAsia="Calibri" w:hAnsi="Arial" w:cs="Arial"/>
                <w:bCs/>
                <w:iCs/>
                <w:color w:val="000000" w:themeColor="text1"/>
              </w:rPr>
              <w:t>ing</w:t>
            </w:r>
            <w:r w:rsidR="00FF2AD7" w:rsidRPr="00FF2AD7">
              <w:rPr>
                <w:rFonts w:ascii="Arial" w:eastAsia="Calibri" w:hAnsi="Arial" w:cs="Arial"/>
                <w:bCs/>
                <w:iCs/>
                <w:color w:val="000000" w:themeColor="text1"/>
              </w:rPr>
              <w:t xml:space="preserve"> guidance for all staff </w:t>
            </w:r>
            <w:r w:rsidR="000D525C">
              <w:rPr>
                <w:rFonts w:ascii="Arial" w:eastAsia="Calibri" w:hAnsi="Arial" w:cs="Arial"/>
                <w:bCs/>
                <w:iCs/>
                <w:color w:val="000000" w:themeColor="text1"/>
              </w:rPr>
              <w:t xml:space="preserve">responsible for writing examination questions. </w:t>
            </w:r>
          </w:p>
          <w:p w14:paraId="127675F9" w14:textId="77777777" w:rsidR="000D525C" w:rsidRDefault="000D525C" w:rsidP="00A759EC">
            <w:pPr>
              <w:tabs>
                <w:tab w:val="left" w:pos="720"/>
                <w:tab w:val="left" w:pos="9248"/>
              </w:tabs>
              <w:rPr>
                <w:rFonts w:ascii="Arial" w:eastAsia="Calibri" w:hAnsi="Arial" w:cs="Arial"/>
                <w:bCs/>
                <w:iCs/>
                <w:color w:val="000000" w:themeColor="text1"/>
              </w:rPr>
            </w:pPr>
          </w:p>
          <w:p w14:paraId="29B47987" w14:textId="57BBB117" w:rsidR="000D525C" w:rsidRDefault="005F69AC"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 xml:space="preserve">During the inspection the panel observed </w:t>
            </w:r>
            <w:r w:rsidR="005D182F">
              <w:rPr>
                <w:rFonts w:ascii="Arial" w:eastAsia="Calibri" w:hAnsi="Arial" w:cs="Arial"/>
                <w:bCs/>
                <w:iCs/>
                <w:color w:val="000000" w:themeColor="text1"/>
              </w:rPr>
              <w:t xml:space="preserve">OSCEs taking place at the dental hospital. </w:t>
            </w:r>
            <w:r w:rsidR="00E96895">
              <w:rPr>
                <w:rFonts w:ascii="Arial" w:eastAsia="Calibri" w:hAnsi="Arial" w:cs="Arial"/>
                <w:bCs/>
                <w:iCs/>
                <w:color w:val="000000" w:themeColor="text1"/>
              </w:rPr>
              <w:t>As part of this element of the inspection</w:t>
            </w:r>
            <w:r w:rsidR="005D182F">
              <w:rPr>
                <w:rFonts w:ascii="Arial" w:eastAsia="Calibri" w:hAnsi="Arial" w:cs="Arial"/>
                <w:bCs/>
                <w:iCs/>
                <w:color w:val="000000" w:themeColor="text1"/>
              </w:rPr>
              <w:t xml:space="preserve"> they attended the examiner briefing and calibration session </w:t>
            </w:r>
            <w:r w:rsidR="00B97E1B">
              <w:rPr>
                <w:rFonts w:ascii="Arial" w:eastAsia="Calibri" w:hAnsi="Arial" w:cs="Arial"/>
                <w:bCs/>
                <w:iCs/>
                <w:color w:val="000000" w:themeColor="text1"/>
              </w:rPr>
              <w:t xml:space="preserve">and were reassured </w:t>
            </w:r>
            <w:r w:rsidR="00E96895">
              <w:rPr>
                <w:rFonts w:ascii="Arial" w:eastAsia="Calibri" w:hAnsi="Arial" w:cs="Arial"/>
                <w:bCs/>
                <w:iCs/>
                <w:color w:val="000000" w:themeColor="text1"/>
              </w:rPr>
              <w:t xml:space="preserve">by the thorough and comprehensive process. </w:t>
            </w:r>
            <w:r w:rsidR="00174034">
              <w:rPr>
                <w:rFonts w:ascii="Arial" w:eastAsia="Calibri" w:hAnsi="Arial" w:cs="Arial"/>
                <w:bCs/>
                <w:iCs/>
                <w:color w:val="000000" w:themeColor="text1"/>
              </w:rPr>
              <w:t xml:space="preserve">OSCE examiners were also provided with a briefing document, which detailed the standard setting process, </w:t>
            </w:r>
            <w:r w:rsidR="00CD4587">
              <w:rPr>
                <w:rFonts w:ascii="Arial" w:eastAsia="Calibri" w:hAnsi="Arial" w:cs="Arial"/>
                <w:bCs/>
                <w:iCs/>
                <w:color w:val="000000" w:themeColor="text1"/>
              </w:rPr>
              <w:t>marking schemes, logistical information and calibration processes</w:t>
            </w:r>
            <w:r w:rsidR="001040D9">
              <w:rPr>
                <w:rFonts w:ascii="Arial" w:eastAsia="Calibri" w:hAnsi="Arial" w:cs="Arial"/>
                <w:bCs/>
                <w:iCs/>
                <w:color w:val="000000" w:themeColor="text1"/>
              </w:rPr>
              <w:t xml:space="preserve"> for both </w:t>
            </w:r>
            <w:r w:rsidR="00017CC6">
              <w:rPr>
                <w:rFonts w:ascii="Arial" w:eastAsia="Calibri" w:hAnsi="Arial" w:cs="Arial"/>
                <w:bCs/>
                <w:iCs/>
                <w:color w:val="000000" w:themeColor="text1"/>
              </w:rPr>
              <w:t xml:space="preserve">actor and paper stations. </w:t>
            </w:r>
          </w:p>
          <w:p w14:paraId="4579F6EB" w14:textId="77777777" w:rsidR="0022308D" w:rsidRPr="00954F44" w:rsidRDefault="0022308D" w:rsidP="009A354E">
            <w:pPr>
              <w:pStyle w:val="ListParagraph"/>
              <w:tabs>
                <w:tab w:val="left" w:pos="720"/>
                <w:tab w:val="left" w:pos="9248"/>
              </w:tabs>
              <w:spacing w:after="0" w:line="240" w:lineRule="auto"/>
              <w:rPr>
                <w:rFonts w:ascii="Arial" w:eastAsia="Calibri" w:hAnsi="Arial" w:cs="Arial"/>
                <w:bCs/>
                <w:iCs/>
                <w:color w:val="000000" w:themeColor="text1"/>
              </w:rPr>
            </w:pPr>
          </w:p>
          <w:p w14:paraId="799D554E" w14:textId="00930856" w:rsidR="00E2148E" w:rsidRPr="00044A9E" w:rsidRDefault="00E2148E" w:rsidP="00A759EC">
            <w:pPr>
              <w:tabs>
                <w:tab w:val="left" w:pos="720"/>
                <w:tab w:val="left" w:pos="9248"/>
              </w:tabs>
              <w:rPr>
                <w:rFonts w:ascii="Arial" w:eastAsia="Calibri" w:hAnsi="Arial" w:cs="Arial"/>
                <w:b/>
                <w:i/>
                <w:color w:val="000000" w:themeColor="text1"/>
              </w:rPr>
            </w:pPr>
            <w:r w:rsidRPr="00044A9E">
              <w:rPr>
                <w:rFonts w:ascii="Arial" w:eastAsia="Calibri" w:hAnsi="Arial" w:cs="Arial"/>
                <w:b/>
                <w:color w:val="000000" w:themeColor="text1"/>
              </w:rPr>
              <w:t xml:space="preserve">Requirement 20: Providers must ask external examiners to report on the extent to which assessment processes are rigorous, set at the correct standard, ensure equity of treatment for students and have been fairly conducted. The responsibilities of the external examiners must be clearly </w:t>
            </w:r>
            <w:r w:rsidRPr="00DF715B">
              <w:rPr>
                <w:rFonts w:ascii="Arial" w:eastAsia="Calibri" w:hAnsi="Arial" w:cs="Arial"/>
                <w:b/>
                <w:color w:val="000000" w:themeColor="text1"/>
              </w:rPr>
              <w:t>documented. (</w:t>
            </w:r>
            <w:r w:rsidRPr="00DF715B">
              <w:rPr>
                <w:rFonts w:ascii="Arial" w:eastAsia="Calibri" w:hAnsi="Arial" w:cs="Arial"/>
                <w:b/>
                <w:i/>
                <w:color w:val="000000" w:themeColor="text1"/>
              </w:rPr>
              <w:t>Requirement Me</w:t>
            </w:r>
            <w:r w:rsidR="004E5DDF" w:rsidRPr="00DF715B">
              <w:rPr>
                <w:rFonts w:ascii="Arial" w:eastAsia="Calibri" w:hAnsi="Arial" w:cs="Arial"/>
                <w:b/>
                <w:i/>
                <w:color w:val="000000" w:themeColor="text1"/>
              </w:rPr>
              <w:t>t</w:t>
            </w:r>
            <w:r w:rsidRPr="00DF715B">
              <w:rPr>
                <w:rFonts w:ascii="Arial" w:eastAsia="Calibri" w:hAnsi="Arial" w:cs="Arial"/>
                <w:b/>
                <w:i/>
                <w:color w:val="000000" w:themeColor="text1"/>
              </w:rPr>
              <w:t>)</w:t>
            </w:r>
          </w:p>
          <w:p w14:paraId="23DE8554" w14:textId="77777777" w:rsidR="00E2148E" w:rsidRDefault="00E2148E" w:rsidP="00A759EC">
            <w:pPr>
              <w:tabs>
                <w:tab w:val="left" w:pos="720"/>
                <w:tab w:val="left" w:pos="9248"/>
              </w:tabs>
              <w:rPr>
                <w:rFonts w:ascii="Arial" w:eastAsia="Calibri" w:hAnsi="Arial" w:cs="Arial"/>
                <w:bCs/>
                <w:iCs/>
                <w:color w:val="000000" w:themeColor="text1"/>
              </w:rPr>
            </w:pPr>
          </w:p>
          <w:p w14:paraId="4711D885" w14:textId="2FF58A0C" w:rsidR="00F22385" w:rsidRDefault="0022388D" w:rsidP="00A759EC">
            <w:pPr>
              <w:tabs>
                <w:tab w:val="left" w:pos="720"/>
                <w:tab w:val="left" w:pos="9248"/>
              </w:tabs>
              <w:rPr>
                <w:rFonts w:ascii="Arial" w:eastAsia="Calibri" w:hAnsi="Arial" w:cs="Arial"/>
                <w:bCs/>
                <w:iCs/>
                <w:color w:val="000000" w:themeColor="text1"/>
              </w:rPr>
            </w:pPr>
            <w:r>
              <w:rPr>
                <w:rFonts w:ascii="Arial" w:eastAsia="Calibri" w:hAnsi="Arial" w:cs="Arial"/>
                <w:bCs/>
                <w:iCs/>
                <w:color w:val="000000" w:themeColor="text1"/>
              </w:rPr>
              <w:t>As part of the inspection of the BDS programme, the panel had the opportunity to interview two External Examiners</w:t>
            </w:r>
            <w:r w:rsidR="002F6BA0">
              <w:rPr>
                <w:rFonts w:ascii="Arial" w:eastAsia="Calibri" w:hAnsi="Arial" w:cs="Arial"/>
                <w:bCs/>
                <w:iCs/>
                <w:color w:val="000000" w:themeColor="text1"/>
              </w:rPr>
              <w:t xml:space="preserve">, who were both complimentary about the content of the course and its oversight by </w:t>
            </w:r>
            <w:r w:rsidR="006F2ED0">
              <w:rPr>
                <w:rFonts w:ascii="Arial" w:eastAsia="Calibri" w:hAnsi="Arial" w:cs="Arial"/>
                <w:bCs/>
                <w:iCs/>
                <w:color w:val="000000" w:themeColor="text1"/>
              </w:rPr>
              <w:t xml:space="preserve">the school leadership team. The External Examiners confirmed that any feedback they provide </w:t>
            </w:r>
            <w:r w:rsidR="004474F2">
              <w:rPr>
                <w:rFonts w:ascii="Arial" w:eastAsia="Calibri" w:hAnsi="Arial" w:cs="Arial"/>
                <w:bCs/>
                <w:iCs/>
                <w:color w:val="000000" w:themeColor="text1"/>
              </w:rPr>
              <w:t xml:space="preserve">is thoroughly considered. They noted that </w:t>
            </w:r>
            <w:r w:rsidR="00553F68">
              <w:rPr>
                <w:rFonts w:ascii="Arial" w:eastAsia="Calibri" w:hAnsi="Arial" w:cs="Arial"/>
                <w:bCs/>
                <w:iCs/>
                <w:color w:val="000000" w:themeColor="text1"/>
              </w:rPr>
              <w:t xml:space="preserve">should the school not implement their suggested changes, they are provided with clear rationale for this. </w:t>
            </w:r>
          </w:p>
          <w:p w14:paraId="693D1854" w14:textId="77777777" w:rsidR="00DB0A3F" w:rsidRDefault="00DB0A3F" w:rsidP="00A759EC">
            <w:pPr>
              <w:tabs>
                <w:tab w:val="left" w:pos="720"/>
                <w:tab w:val="left" w:pos="9248"/>
              </w:tabs>
              <w:rPr>
                <w:rFonts w:ascii="Arial" w:eastAsia="Calibri" w:hAnsi="Arial" w:cs="Arial"/>
                <w:bCs/>
                <w:iCs/>
                <w:color w:val="000000" w:themeColor="text1"/>
              </w:rPr>
            </w:pPr>
          </w:p>
          <w:p w14:paraId="7017AEC9" w14:textId="77777777" w:rsidR="0062575D" w:rsidRDefault="00DB0A3F" w:rsidP="00793226">
            <w:pPr>
              <w:tabs>
                <w:tab w:val="left" w:pos="720"/>
                <w:tab w:val="left" w:pos="9248"/>
              </w:tabs>
              <w:rPr>
                <w:rFonts w:ascii="Arial" w:hAnsi="Arial" w:cs="Arial"/>
                <w:bCs/>
                <w:iCs/>
                <w:color w:val="000000" w:themeColor="text1"/>
              </w:rPr>
            </w:pPr>
            <w:r>
              <w:rPr>
                <w:rFonts w:ascii="Arial" w:eastAsia="Calibri" w:hAnsi="Arial" w:cs="Arial"/>
                <w:bCs/>
                <w:iCs/>
                <w:color w:val="000000" w:themeColor="text1"/>
              </w:rPr>
              <w:t xml:space="preserve">The </w:t>
            </w:r>
            <w:r w:rsidR="00D918A9">
              <w:rPr>
                <w:rFonts w:ascii="Arial" w:eastAsia="Calibri" w:hAnsi="Arial" w:cs="Arial"/>
                <w:bCs/>
                <w:iCs/>
                <w:color w:val="000000" w:themeColor="text1"/>
              </w:rPr>
              <w:t xml:space="preserve">panel was provided with evidence of the oversight that External Examiners have within the programme, including </w:t>
            </w:r>
            <w:r w:rsidR="0059313E">
              <w:rPr>
                <w:rFonts w:ascii="Arial" w:eastAsia="Calibri" w:hAnsi="Arial" w:cs="Arial"/>
                <w:bCs/>
                <w:iCs/>
                <w:color w:val="000000" w:themeColor="text1"/>
              </w:rPr>
              <w:t xml:space="preserve">observing assessments, reviewing examination papers and providing written reports at the end of each academic year. </w:t>
            </w:r>
            <w:r w:rsidR="00793226" w:rsidRPr="008E4CA1">
              <w:rPr>
                <w:rFonts w:ascii="Arial" w:hAnsi="Arial" w:cs="Arial"/>
                <w:bCs/>
                <w:iCs/>
                <w:color w:val="000000" w:themeColor="text1"/>
              </w:rPr>
              <w:t xml:space="preserve">External </w:t>
            </w:r>
            <w:r w:rsidR="00793226">
              <w:rPr>
                <w:rFonts w:ascii="Arial" w:hAnsi="Arial" w:cs="Arial"/>
                <w:bCs/>
                <w:iCs/>
                <w:color w:val="000000" w:themeColor="text1"/>
              </w:rPr>
              <w:t>E</w:t>
            </w:r>
            <w:r w:rsidR="00793226" w:rsidRPr="008E4CA1">
              <w:rPr>
                <w:rFonts w:ascii="Arial" w:hAnsi="Arial" w:cs="Arial"/>
                <w:bCs/>
                <w:iCs/>
                <w:color w:val="000000" w:themeColor="text1"/>
              </w:rPr>
              <w:t xml:space="preserve">xaminers meet with the school every September to discuss assessments and as a result, a standard operating procedure has been created. </w:t>
            </w:r>
          </w:p>
          <w:p w14:paraId="3147735E" w14:textId="77777777" w:rsidR="0062575D" w:rsidRDefault="0062575D" w:rsidP="00793226">
            <w:pPr>
              <w:tabs>
                <w:tab w:val="left" w:pos="720"/>
                <w:tab w:val="left" w:pos="9248"/>
              </w:tabs>
              <w:rPr>
                <w:rFonts w:ascii="Arial" w:hAnsi="Arial" w:cs="Arial"/>
                <w:bCs/>
                <w:iCs/>
                <w:color w:val="000000" w:themeColor="text1"/>
              </w:rPr>
            </w:pPr>
          </w:p>
          <w:p w14:paraId="600F210E" w14:textId="79BAC037" w:rsidR="00DB0A3F" w:rsidRPr="0062575D" w:rsidRDefault="00793226" w:rsidP="00A759EC">
            <w:pPr>
              <w:tabs>
                <w:tab w:val="left" w:pos="720"/>
                <w:tab w:val="left" w:pos="9248"/>
              </w:tabs>
              <w:rPr>
                <w:rFonts w:ascii="Arial" w:hAnsi="Arial" w:cs="Arial"/>
                <w:bCs/>
                <w:iCs/>
                <w:color w:val="000000" w:themeColor="text1"/>
              </w:rPr>
            </w:pPr>
            <w:r w:rsidRPr="008E4CA1">
              <w:rPr>
                <w:rFonts w:ascii="Arial" w:hAnsi="Arial" w:cs="Arial"/>
                <w:bCs/>
                <w:iCs/>
                <w:color w:val="000000" w:themeColor="text1"/>
              </w:rPr>
              <w:t xml:space="preserve">The school receives input regarding assessments regularly from external examiners and they proactively review and amend assessments using the feedback provided. </w:t>
            </w:r>
            <w:r w:rsidR="00DF715B">
              <w:rPr>
                <w:rFonts w:ascii="Arial" w:eastAsia="Calibri" w:hAnsi="Arial" w:cs="Arial"/>
                <w:bCs/>
                <w:iCs/>
                <w:color w:val="000000" w:themeColor="text1"/>
              </w:rPr>
              <w:t xml:space="preserve">The panel was assured that a robust process was in place to ensure External Examiners were used effectively and appropriately. </w:t>
            </w:r>
          </w:p>
          <w:p w14:paraId="18750117" w14:textId="77777777" w:rsidR="004E5DDF" w:rsidRPr="009A354E" w:rsidRDefault="004E5DDF" w:rsidP="004E5DDF">
            <w:pPr>
              <w:pStyle w:val="ListParagraph"/>
              <w:tabs>
                <w:tab w:val="left" w:pos="720"/>
                <w:tab w:val="left" w:pos="9248"/>
              </w:tabs>
              <w:spacing w:after="0" w:line="240" w:lineRule="auto"/>
              <w:rPr>
                <w:rFonts w:ascii="Arial" w:eastAsia="Calibri" w:hAnsi="Arial" w:cs="Arial"/>
                <w:bCs/>
                <w:iCs/>
                <w:color w:val="000000" w:themeColor="text1"/>
              </w:rPr>
            </w:pPr>
          </w:p>
          <w:p w14:paraId="2AADA1E3" w14:textId="2A509452" w:rsidR="00E2148E" w:rsidRPr="00044A9E" w:rsidRDefault="00E2148E" w:rsidP="00A759EC">
            <w:pPr>
              <w:tabs>
                <w:tab w:val="left" w:pos="720"/>
                <w:tab w:val="left" w:pos="9248"/>
              </w:tabs>
              <w:rPr>
                <w:rFonts w:ascii="Arial" w:eastAsia="Calibri" w:hAnsi="Arial" w:cs="Arial"/>
                <w:b/>
                <w:i/>
                <w:color w:val="000000" w:themeColor="text1"/>
              </w:rPr>
            </w:pPr>
            <w:r w:rsidRPr="00044A9E">
              <w:rPr>
                <w:rFonts w:ascii="Arial" w:eastAsia="Calibri" w:hAnsi="Arial" w:cs="Arial"/>
                <w:b/>
                <w:color w:val="000000" w:themeColor="text1"/>
              </w:rPr>
              <w:t>Requirement 21: Assessment must be fair and undertaken against clear criteria. The standard expected of students in each area to be assessed must be clear and students and staff involved in assessment must be aware of this standard. An appropriate standard setting pro</w:t>
            </w:r>
            <w:r w:rsidRPr="00676275">
              <w:rPr>
                <w:rFonts w:ascii="Arial" w:eastAsia="Calibri" w:hAnsi="Arial" w:cs="Arial"/>
                <w:b/>
                <w:color w:val="000000" w:themeColor="text1"/>
              </w:rPr>
              <w:t>cess must be employed for summative assessments. (</w:t>
            </w:r>
            <w:r w:rsidRPr="00676275">
              <w:rPr>
                <w:rFonts w:ascii="Arial" w:eastAsia="Calibri" w:hAnsi="Arial" w:cs="Arial"/>
                <w:b/>
                <w:i/>
                <w:color w:val="000000" w:themeColor="text1"/>
              </w:rPr>
              <w:t>Requirement Met)</w:t>
            </w:r>
          </w:p>
          <w:p w14:paraId="6228480C" w14:textId="77777777" w:rsidR="00E2148E" w:rsidRDefault="00E2148E" w:rsidP="00A759EC">
            <w:pPr>
              <w:tabs>
                <w:tab w:val="left" w:pos="720"/>
                <w:tab w:val="left" w:pos="9248"/>
              </w:tabs>
              <w:rPr>
                <w:rFonts w:ascii="Arial" w:eastAsia="Calibri" w:hAnsi="Arial" w:cs="Arial"/>
                <w:color w:val="000000" w:themeColor="text1"/>
              </w:rPr>
            </w:pPr>
          </w:p>
          <w:p w14:paraId="1D60F745" w14:textId="77777777" w:rsidR="00DF5DC2" w:rsidRDefault="00917EB6" w:rsidP="00A759EC">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As LiftUpp is the key system used for </w:t>
            </w:r>
            <w:r w:rsidR="00126535">
              <w:rPr>
                <w:rFonts w:ascii="Arial" w:eastAsia="Calibri" w:hAnsi="Arial" w:cs="Arial"/>
                <w:color w:val="000000" w:themeColor="text1"/>
              </w:rPr>
              <w:t xml:space="preserve">the ongoing assessment of students in a clinical setting, the panel was pleased to note that </w:t>
            </w:r>
            <w:r w:rsidR="00126535" w:rsidRPr="00126535">
              <w:rPr>
                <w:rFonts w:ascii="Arial" w:eastAsia="Calibri" w:hAnsi="Arial" w:cs="Arial"/>
                <w:color w:val="000000" w:themeColor="text1"/>
              </w:rPr>
              <w:t>LiftUpp developmental indicators are clear and easily accessible to staff and students via iPads and the web interface</w:t>
            </w:r>
            <w:r w:rsidR="00375F20">
              <w:rPr>
                <w:rFonts w:ascii="Arial" w:eastAsia="Calibri" w:hAnsi="Arial" w:cs="Arial"/>
                <w:color w:val="000000" w:themeColor="text1"/>
              </w:rPr>
              <w:t xml:space="preserve">, ensuring all involved with the use of this system are aware of </w:t>
            </w:r>
            <w:r w:rsidR="00AA38AD">
              <w:rPr>
                <w:rFonts w:ascii="Arial" w:eastAsia="Calibri" w:hAnsi="Arial" w:cs="Arial"/>
                <w:color w:val="000000" w:themeColor="text1"/>
              </w:rPr>
              <w:t xml:space="preserve">how it functions. </w:t>
            </w:r>
          </w:p>
          <w:p w14:paraId="51DA703D" w14:textId="77777777" w:rsidR="00DF5DC2" w:rsidRDefault="00DF5DC2" w:rsidP="00A759EC">
            <w:pPr>
              <w:tabs>
                <w:tab w:val="left" w:pos="720"/>
                <w:tab w:val="left" w:pos="9248"/>
              </w:tabs>
              <w:rPr>
                <w:rFonts w:ascii="Arial" w:eastAsia="Calibri" w:hAnsi="Arial" w:cs="Arial"/>
                <w:color w:val="000000" w:themeColor="text1"/>
              </w:rPr>
            </w:pPr>
          </w:p>
          <w:p w14:paraId="3459D453" w14:textId="2579FE6A" w:rsidR="00DF5DC2" w:rsidRDefault="00DF5DC2" w:rsidP="00DF5DC2">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panel was informed that </w:t>
            </w:r>
            <w:r w:rsidRPr="00DF5DC2">
              <w:rPr>
                <w:rFonts w:ascii="Arial" w:eastAsia="Calibri" w:hAnsi="Arial" w:cs="Arial"/>
                <w:color w:val="000000" w:themeColor="text1"/>
              </w:rPr>
              <w:t>all OSCE assessments are standard set by a combination of Angoff and borderline regression</w:t>
            </w:r>
            <w:r>
              <w:rPr>
                <w:rFonts w:ascii="Arial" w:eastAsia="Calibri" w:hAnsi="Arial" w:cs="Arial"/>
                <w:color w:val="000000" w:themeColor="text1"/>
              </w:rPr>
              <w:t xml:space="preserve">. In addition to this </w:t>
            </w:r>
            <w:r w:rsidRPr="00DF5DC2">
              <w:rPr>
                <w:rFonts w:ascii="Arial" w:eastAsia="Calibri" w:hAnsi="Arial" w:cs="Arial"/>
                <w:color w:val="000000" w:themeColor="text1"/>
              </w:rPr>
              <w:t xml:space="preserve">all written assessments are </w:t>
            </w:r>
            <w:r w:rsidR="009439FC">
              <w:rPr>
                <w:rFonts w:ascii="Arial" w:eastAsia="Calibri" w:hAnsi="Arial" w:cs="Arial"/>
                <w:color w:val="000000" w:themeColor="text1"/>
              </w:rPr>
              <w:t>s</w:t>
            </w:r>
            <w:r w:rsidRPr="00DF5DC2">
              <w:rPr>
                <w:rFonts w:ascii="Arial" w:eastAsia="Calibri" w:hAnsi="Arial" w:cs="Arial"/>
                <w:color w:val="000000" w:themeColor="text1"/>
              </w:rPr>
              <w:t>tandard set using a combination of Angoff and Hofstee</w:t>
            </w:r>
            <w:r w:rsidR="009439FC">
              <w:rPr>
                <w:rFonts w:ascii="Arial" w:eastAsia="Calibri" w:hAnsi="Arial" w:cs="Arial"/>
                <w:color w:val="000000" w:themeColor="text1"/>
              </w:rPr>
              <w:t xml:space="preserve">. </w:t>
            </w:r>
          </w:p>
          <w:p w14:paraId="6819630E" w14:textId="77777777" w:rsidR="00B65D85" w:rsidRDefault="00B65D85" w:rsidP="00DF5DC2">
            <w:pPr>
              <w:tabs>
                <w:tab w:val="left" w:pos="720"/>
                <w:tab w:val="left" w:pos="9248"/>
              </w:tabs>
              <w:rPr>
                <w:rFonts w:ascii="Arial" w:eastAsia="Calibri" w:hAnsi="Arial" w:cs="Arial"/>
                <w:color w:val="000000" w:themeColor="text1"/>
              </w:rPr>
            </w:pPr>
          </w:p>
          <w:p w14:paraId="7E9D0CB8" w14:textId="30C829C8" w:rsidR="00FB0A85" w:rsidRPr="00DF5DC2" w:rsidRDefault="00CC50AD" w:rsidP="00DF5DC2">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panel was reassured that </w:t>
            </w:r>
            <w:r w:rsidRPr="00CC50AD">
              <w:rPr>
                <w:rFonts w:ascii="Arial" w:eastAsia="Calibri" w:hAnsi="Arial" w:cs="Arial"/>
                <w:color w:val="000000" w:themeColor="text1"/>
              </w:rPr>
              <w:t xml:space="preserve">formative assessments mirror summative assessments and utilise the same quality assurance measures. </w:t>
            </w:r>
            <w:r w:rsidR="003E77A2">
              <w:rPr>
                <w:rFonts w:ascii="Arial" w:eastAsia="Calibri" w:hAnsi="Arial" w:cs="Arial"/>
                <w:color w:val="000000" w:themeColor="text1"/>
              </w:rPr>
              <w:t>The panel noted that t</w:t>
            </w:r>
            <w:r w:rsidRPr="00CC50AD">
              <w:rPr>
                <w:rFonts w:ascii="Arial" w:eastAsia="Calibri" w:hAnsi="Arial" w:cs="Arial"/>
                <w:color w:val="000000" w:themeColor="text1"/>
              </w:rPr>
              <w:t>his allows students to become familiar with the format and standard of questions</w:t>
            </w:r>
            <w:r w:rsidR="00DC790A">
              <w:rPr>
                <w:rFonts w:ascii="Arial" w:eastAsia="Calibri" w:hAnsi="Arial" w:cs="Arial"/>
                <w:color w:val="000000" w:themeColor="text1"/>
              </w:rPr>
              <w:t xml:space="preserve"> and OSCE</w:t>
            </w:r>
            <w:r w:rsidRPr="00CC50AD">
              <w:rPr>
                <w:rFonts w:ascii="Arial" w:eastAsia="Calibri" w:hAnsi="Arial" w:cs="Arial"/>
                <w:color w:val="000000" w:themeColor="text1"/>
              </w:rPr>
              <w:t xml:space="preserve"> stations </w:t>
            </w:r>
            <w:r w:rsidR="00DC790A">
              <w:rPr>
                <w:rFonts w:ascii="Arial" w:eastAsia="Calibri" w:hAnsi="Arial" w:cs="Arial"/>
                <w:color w:val="000000" w:themeColor="text1"/>
              </w:rPr>
              <w:t>used</w:t>
            </w:r>
            <w:r w:rsidR="006724B4">
              <w:rPr>
                <w:rFonts w:ascii="Arial" w:eastAsia="Calibri" w:hAnsi="Arial" w:cs="Arial"/>
                <w:color w:val="000000" w:themeColor="text1"/>
              </w:rPr>
              <w:t xml:space="preserve"> in a formative setting in advance of attempt</w:t>
            </w:r>
            <w:r w:rsidR="00FB0A85">
              <w:rPr>
                <w:rFonts w:ascii="Arial" w:eastAsia="Calibri" w:hAnsi="Arial" w:cs="Arial"/>
                <w:color w:val="000000" w:themeColor="text1"/>
              </w:rPr>
              <w:t>ing their summative assessments. The panel spoke with students during the inspection, who confirmed that</w:t>
            </w:r>
            <w:r w:rsidR="004256BA">
              <w:rPr>
                <w:rFonts w:ascii="Arial" w:eastAsia="Calibri" w:hAnsi="Arial" w:cs="Arial"/>
                <w:color w:val="000000" w:themeColor="text1"/>
              </w:rPr>
              <w:t xml:space="preserve"> they</w:t>
            </w:r>
            <w:r w:rsidR="00FB0A85">
              <w:rPr>
                <w:rFonts w:ascii="Arial" w:eastAsia="Calibri" w:hAnsi="Arial" w:cs="Arial"/>
                <w:color w:val="000000" w:themeColor="text1"/>
              </w:rPr>
              <w:t xml:space="preserve"> felt well informed of the assessment process</w:t>
            </w:r>
            <w:r w:rsidR="00676275">
              <w:rPr>
                <w:rFonts w:ascii="Arial" w:eastAsia="Calibri" w:hAnsi="Arial" w:cs="Arial"/>
                <w:color w:val="000000" w:themeColor="text1"/>
              </w:rPr>
              <w:t xml:space="preserve"> and were aware of the standard expected of them. </w:t>
            </w:r>
          </w:p>
          <w:p w14:paraId="236E8538" w14:textId="419B0212" w:rsidR="00E2148E" w:rsidRPr="00676275" w:rsidRDefault="00126535" w:rsidP="00676275">
            <w:pPr>
              <w:tabs>
                <w:tab w:val="left" w:pos="720"/>
                <w:tab w:val="left" w:pos="9248"/>
              </w:tabs>
              <w:rPr>
                <w:rFonts w:ascii="Arial" w:eastAsia="Calibri" w:hAnsi="Arial" w:cs="Arial"/>
                <w:color w:val="000000" w:themeColor="text1"/>
              </w:rPr>
            </w:pPr>
            <w:r w:rsidRPr="00126535">
              <w:rPr>
                <w:rFonts w:ascii="Arial" w:eastAsia="Calibri" w:hAnsi="Arial" w:cs="Arial"/>
                <w:color w:val="000000" w:themeColor="text1"/>
              </w:rPr>
              <w:t xml:space="preserve"> </w:t>
            </w:r>
          </w:p>
        </w:tc>
      </w:tr>
    </w:tbl>
    <w:p w14:paraId="51A7B01E" w14:textId="6B1CC1A7" w:rsidR="00CB6EEE" w:rsidRPr="00044A9E" w:rsidRDefault="00CB6EEE" w:rsidP="004213EA">
      <w:pPr>
        <w:rPr>
          <w:rFonts w:ascii="Arial" w:hAnsi="Arial" w:cs="Arial"/>
          <w:b/>
          <w:color w:val="1F3864" w:themeColor="accent1" w:themeShade="80"/>
          <w:sz w:val="28"/>
        </w:rPr>
        <w:sectPr w:rsidR="00CB6EEE" w:rsidRPr="00044A9E" w:rsidSect="000A5894">
          <w:footerReference w:type="default" r:id="rId12"/>
          <w:pgSz w:w="11906" w:h="16838"/>
          <w:pgMar w:top="1440" w:right="1440" w:bottom="1440" w:left="1440" w:header="709" w:footer="709" w:gutter="0"/>
          <w:cols w:space="708"/>
          <w:docGrid w:linePitch="360"/>
        </w:sectPr>
      </w:pPr>
      <w:r w:rsidRPr="00044A9E">
        <w:rPr>
          <w:rFonts w:ascii="Arial" w:hAnsi="Arial" w:cs="Arial"/>
          <w:b/>
          <w:color w:val="1F3864" w:themeColor="accent1" w:themeShade="80"/>
          <w:sz w:val="28"/>
        </w:rPr>
        <w:lastRenderedPageBreak/>
        <w:br w:type="page"/>
      </w:r>
    </w:p>
    <w:p w14:paraId="58A9E1E2" w14:textId="28EAC581" w:rsidR="00DD37F6" w:rsidRPr="00044A9E" w:rsidRDefault="004213EA" w:rsidP="004213EA">
      <w:pPr>
        <w:rPr>
          <w:rFonts w:ascii="Arial" w:hAnsi="Arial" w:cs="Arial"/>
          <w:b/>
          <w:color w:val="1F3864" w:themeColor="accent1" w:themeShade="80"/>
          <w:sz w:val="28"/>
        </w:rPr>
      </w:pPr>
      <w:r w:rsidRPr="00044A9E">
        <w:rPr>
          <w:rFonts w:ascii="Arial" w:hAnsi="Arial" w:cs="Arial"/>
          <w:b/>
          <w:color w:val="1F3864" w:themeColor="accent1" w:themeShade="80"/>
          <w:sz w:val="28"/>
        </w:rPr>
        <w:lastRenderedPageBreak/>
        <w:t>Summary of Acti</w:t>
      </w:r>
      <w:r w:rsidR="00FA6320" w:rsidRPr="00044A9E">
        <w:rPr>
          <w:rFonts w:ascii="Arial" w:hAnsi="Arial" w:cs="Arial"/>
          <w:b/>
          <w:color w:val="1F3864" w:themeColor="accent1" w:themeShade="80"/>
          <w:sz w:val="28"/>
        </w:rPr>
        <w:t>o</w:t>
      </w:r>
      <w:r w:rsidR="00BE085C" w:rsidRPr="00044A9E">
        <w:rPr>
          <w:rFonts w:ascii="Arial" w:hAnsi="Arial" w:cs="Arial"/>
          <w:b/>
          <w:color w:val="1F3864" w:themeColor="accent1" w:themeShade="80"/>
          <w:sz w:val="28"/>
        </w:rPr>
        <w:t>n</w:t>
      </w:r>
    </w:p>
    <w:tbl>
      <w:tblPr>
        <w:tblStyle w:val="TableGrid"/>
        <w:tblW w:w="0" w:type="auto"/>
        <w:tblLook w:val="04A0" w:firstRow="1" w:lastRow="0" w:firstColumn="1" w:lastColumn="0" w:noHBand="0" w:noVBand="1"/>
      </w:tblPr>
      <w:tblGrid>
        <w:gridCol w:w="1561"/>
        <w:gridCol w:w="4534"/>
        <w:gridCol w:w="5667"/>
        <w:gridCol w:w="2186"/>
      </w:tblGrid>
      <w:tr w:rsidR="00DD37F6" w:rsidRPr="00044A9E" w14:paraId="53E9ECA7" w14:textId="77777777" w:rsidTr="0084686C">
        <w:tc>
          <w:tcPr>
            <w:tcW w:w="1555" w:type="dxa"/>
            <w:shd w:val="clear" w:color="auto" w:fill="2F5496" w:themeFill="accent1" w:themeFillShade="BF"/>
          </w:tcPr>
          <w:p w14:paraId="56DC5830" w14:textId="7B3C22E8" w:rsidR="00DD37F6" w:rsidRPr="00044A9E" w:rsidRDefault="0000445E" w:rsidP="004213EA">
            <w:pPr>
              <w:rPr>
                <w:rFonts w:ascii="Arial" w:hAnsi="Arial" w:cs="Arial"/>
                <w:b/>
                <w:color w:val="FFFFFF" w:themeColor="background1"/>
              </w:rPr>
            </w:pPr>
            <w:r w:rsidRPr="00044A9E">
              <w:rPr>
                <w:rFonts w:ascii="Arial" w:hAnsi="Arial" w:cs="Arial"/>
                <w:b/>
                <w:color w:val="FFFFFF" w:themeColor="background1"/>
              </w:rPr>
              <w:t>Req</w:t>
            </w:r>
            <w:r w:rsidR="00CB6EEE" w:rsidRPr="00044A9E">
              <w:rPr>
                <w:rFonts w:ascii="Arial" w:hAnsi="Arial" w:cs="Arial"/>
                <w:b/>
                <w:color w:val="FFFFFF" w:themeColor="background1"/>
              </w:rPr>
              <w:t>uirement</w:t>
            </w:r>
            <w:r w:rsidR="00EA2031" w:rsidRPr="00044A9E">
              <w:rPr>
                <w:rFonts w:ascii="Arial" w:hAnsi="Arial" w:cs="Arial"/>
                <w:b/>
                <w:color w:val="FFFFFF" w:themeColor="background1"/>
              </w:rPr>
              <w:t xml:space="preserve"> </w:t>
            </w:r>
            <w:r w:rsidR="0098457E" w:rsidRPr="00044A9E">
              <w:rPr>
                <w:rFonts w:ascii="Arial" w:hAnsi="Arial" w:cs="Arial"/>
                <w:b/>
                <w:color w:val="FFFFFF" w:themeColor="background1"/>
              </w:rPr>
              <w:t>number</w:t>
            </w:r>
          </w:p>
        </w:tc>
        <w:tc>
          <w:tcPr>
            <w:tcW w:w="4536" w:type="dxa"/>
            <w:shd w:val="clear" w:color="auto" w:fill="2F5496" w:themeFill="accent1" w:themeFillShade="BF"/>
          </w:tcPr>
          <w:p w14:paraId="5E301E19" w14:textId="5C386771" w:rsidR="00DD37F6" w:rsidRPr="00044A9E" w:rsidRDefault="0000445E" w:rsidP="004213EA">
            <w:pPr>
              <w:rPr>
                <w:rFonts w:ascii="Arial" w:hAnsi="Arial" w:cs="Arial"/>
                <w:b/>
                <w:color w:val="FFFFFF" w:themeColor="background1"/>
              </w:rPr>
            </w:pPr>
            <w:r w:rsidRPr="00044A9E">
              <w:rPr>
                <w:rFonts w:ascii="Arial" w:hAnsi="Arial" w:cs="Arial"/>
                <w:b/>
                <w:color w:val="FFFFFF" w:themeColor="background1"/>
              </w:rPr>
              <w:t>Action</w:t>
            </w:r>
          </w:p>
        </w:tc>
        <w:tc>
          <w:tcPr>
            <w:tcW w:w="5670" w:type="dxa"/>
            <w:shd w:val="clear" w:color="auto" w:fill="2F5496" w:themeFill="accent1" w:themeFillShade="BF"/>
          </w:tcPr>
          <w:p w14:paraId="76FF9E2A" w14:textId="7DABBE35" w:rsidR="00DD37F6" w:rsidRPr="00044A9E" w:rsidRDefault="0000445E" w:rsidP="004213EA">
            <w:pPr>
              <w:rPr>
                <w:rFonts w:ascii="Arial" w:hAnsi="Arial" w:cs="Arial"/>
                <w:b/>
                <w:color w:val="FFFFFF" w:themeColor="background1"/>
              </w:rPr>
            </w:pPr>
            <w:r w:rsidRPr="00044A9E">
              <w:rPr>
                <w:rFonts w:ascii="Arial" w:hAnsi="Arial" w:cs="Arial"/>
                <w:b/>
                <w:color w:val="FFFFFF" w:themeColor="background1"/>
              </w:rPr>
              <w:t xml:space="preserve">Observations </w:t>
            </w:r>
            <w:r w:rsidR="00EA2031" w:rsidRPr="00044A9E">
              <w:rPr>
                <w:rFonts w:ascii="Arial" w:hAnsi="Arial" w:cs="Arial"/>
                <w:b/>
                <w:color w:val="FFFFFF" w:themeColor="background1"/>
              </w:rPr>
              <w:t>&amp; response from Provider</w:t>
            </w:r>
          </w:p>
        </w:tc>
        <w:tc>
          <w:tcPr>
            <w:tcW w:w="2187" w:type="dxa"/>
            <w:shd w:val="clear" w:color="auto" w:fill="2F5496" w:themeFill="accent1" w:themeFillShade="BF"/>
          </w:tcPr>
          <w:p w14:paraId="47639F7A" w14:textId="47800ADA" w:rsidR="00DD37F6" w:rsidRPr="00044A9E" w:rsidRDefault="00EA2031" w:rsidP="004213EA">
            <w:pPr>
              <w:rPr>
                <w:rFonts w:ascii="Arial" w:hAnsi="Arial" w:cs="Arial"/>
                <w:b/>
                <w:color w:val="FFFFFF" w:themeColor="background1"/>
              </w:rPr>
            </w:pPr>
            <w:r w:rsidRPr="00044A9E">
              <w:rPr>
                <w:rFonts w:ascii="Arial" w:hAnsi="Arial" w:cs="Arial"/>
                <w:b/>
                <w:color w:val="FFFFFF" w:themeColor="background1"/>
              </w:rPr>
              <w:t>Due date</w:t>
            </w:r>
          </w:p>
        </w:tc>
      </w:tr>
      <w:tr w:rsidR="0098457E" w:rsidRPr="00044A9E" w14:paraId="3F5E5268" w14:textId="77777777" w:rsidTr="0084686C">
        <w:tc>
          <w:tcPr>
            <w:tcW w:w="1555" w:type="dxa"/>
            <w:shd w:val="clear" w:color="auto" w:fill="FFFFFF" w:themeFill="background1"/>
          </w:tcPr>
          <w:p w14:paraId="1E71525B" w14:textId="5B52EF6B" w:rsidR="0098457E" w:rsidRPr="00044A9E" w:rsidRDefault="00426F3D" w:rsidP="004213EA">
            <w:pPr>
              <w:rPr>
                <w:rFonts w:ascii="Arial" w:hAnsi="Arial" w:cs="Arial"/>
              </w:rPr>
            </w:pPr>
            <w:r>
              <w:rPr>
                <w:rFonts w:ascii="Arial" w:hAnsi="Arial" w:cs="Arial"/>
              </w:rPr>
              <w:t>N/A</w:t>
            </w:r>
          </w:p>
        </w:tc>
        <w:tc>
          <w:tcPr>
            <w:tcW w:w="4536" w:type="dxa"/>
            <w:shd w:val="clear" w:color="auto" w:fill="FFFFFF" w:themeFill="background1"/>
          </w:tcPr>
          <w:p w14:paraId="7C7142A0" w14:textId="77777777" w:rsidR="0098457E" w:rsidRPr="00044A9E" w:rsidRDefault="0098457E" w:rsidP="004213EA">
            <w:pPr>
              <w:rPr>
                <w:rFonts w:ascii="Arial" w:hAnsi="Arial" w:cs="Arial"/>
              </w:rPr>
            </w:pPr>
          </w:p>
        </w:tc>
        <w:tc>
          <w:tcPr>
            <w:tcW w:w="5670" w:type="dxa"/>
            <w:shd w:val="clear" w:color="auto" w:fill="FFFFFF" w:themeFill="background1"/>
          </w:tcPr>
          <w:p w14:paraId="2015DE9A" w14:textId="77777777" w:rsidR="0098457E" w:rsidRPr="00044A9E" w:rsidRDefault="0098457E" w:rsidP="004213EA">
            <w:pPr>
              <w:rPr>
                <w:rFonts w:ascii="Arial" w:hAnsi="Arial" w:cs="Arial"/>
              </w:rPr>
            </w:pPr>
          </w:p>
        </w:tc>
        <w:tc>
          <w:tcPr>
            <w:tcW w:w="2187" w:type="dxa"/>
            <w:shd w:val="clear" w:color="auto" w:fill="FFFFFF" w:themeFill="background1"/>
          </w:tcPr>
          <w:p w14:paraId="020971C5" w14:textId="77777777" w:rsidR="0098457E" w:rsidRPr="00044A9E" w:rsidRDefault="0098457E" w:rsidP="004213EA">
            <w:pPr>
              <w:rPr>
                <w:rFonts w:ascii="Arial" w:hAnsi="Arial" w:cs="Arial"/>
              </w:rPr>
            </w:pPr>
          </w:p>
        </w:tc>
      </w:tr>
      <w:tr w:rsidR="0098457E" w:rsidRPr="00044A9E" w14:paraId="36ED39E2" w14:textId="77777777" w:rsidTr="0084686C">
        <w:tc>
          <w:tcPr>
            <w:tcW w:w="1555" w:type="dxa"/>
            <w:shd w:val="clear" w:color="auto" w:fill="FFFFFF" w:themeFill="background1"/>
          </w:tcPr>
          <w:p w14:paraId="47FA2F00" w14:textId="77777777" w:rsidR="0098457E" w:rsidRPr="00044A9E" w:rsidRDefault="0098457E" w:rsidP="004213EA">
            <w:pPr>
              <w:rPr>
                <w:rFonts w:ascii="Arial" w:hAnsi="Arial" w:cs="Arial"/>
              </w:rPr>
            </w:pPr>
          </w:p>
        </w:tc>
        <w:tc>
          <w:tcPr>
            <w:tcW w:w="4536" w:type="dxa"/>
            <w:shd w:val="clear" w:color="auto" w:fill="FFFFFF" w:themeFill="background1"/>
          </w:tcPr>
          <w:p w14:paraId="63E9EF16" w14:textId="77777777" w:rsidR="0098457E" w:rsidRPr="00044A9E" w:rsidRDefault="0098457E" w:rsidP="004213EA">
            <w:pPr>
              <w:rPr>
                <w:rFonts w:ascii="Arial" w:hAnsi="Arial" w:cs="Arial"/>
              </w:rPr>
            </w:pPr>
          </w:p>
        </w:tc>
        <w:tc>
          <w:tcPr>
            <w:tcW w:w="5670" w:type="dxa"/>
            <w:shd w:val="clear" w:color="auto" w:fill="FFFFFF" w:themeFill="background1"/>
          </w:tcPr>
          <w:p w14:paraId="208601E6" w14:textId="77777777" w:rsidR="0098457E" w:rsidRPr="00044A9E" w:rsidRDefault="0098457E" w:rsidP="004213EA">
            <w:pPr>
              <w:rPr>
                <w:rFonts w:ascii="Arial" w:hAnsi="Arial" w:cs="Arial"/>
              </w:rPr>
            </w:pPr>
          </w:p>
        </w:tc>
        <w:tc>
          <w:tcPr>
            <w:tcW w:w="2187" w:type="dxa"/>
            <w:shd w:val="clear" w:color="auto" w:fill="FFFFFF" w:themeFill="background1"/>
          </w:tcPr>
          <w:p w14:paraId="5003A567" w14:textId="77777777" w:rsidR="0098457E" w:rsidRPr="00044A9E" w:rsidRDefault="0098457E" w:rsidP="004213EA">
            <w:pPr>
              <w:rPr>
                <w:rFonts w:ascii="Arial" w:hAnsi="Arial" w:cs="Arial"/>
              </w:rPr>
            </w:pPr>
          </w:p>
        </w:tc>
      </w:tr>
      <w:tr w:rsidR="0098457E" w:rsidRPr="00044A9E" w14:paraId="75549C1B" w14:textId="77777777" w:rsidTr="0084686C">
        <w:tc>
          <w:tcPr>
            <w:tcW w:w="1555" w:type="dxa"/>
            <w:shd w:val="clear" w:color="auto" w:fill="FFFFFF" w:themeFill="background1"/>
          </w:tcPr>
          <w:p w14:paraId="235DF50A" w14:textId="77777777" w:rsidR="0098457E" w:rsidRPr="00044A9E" w:rsidRDefault="0098457E" w:rsidP="004213EA">
            <w:pPr>
              <w:rPr>
                <w:rFonts w:ascii="Arial" w:hAnsi="Arial" w:cs="Arial"/>
              </w:rPr>
            </w:pPr>
          </w:p>
        </w:tc>
        <w:tc>
          <w:tcPr>
            <w:tcW w:w="4536" w:type="dxa"/>
            <w:shd w:val="clear" w:color="auto" w:fill="FFFFFF" w:themeFill="background1"/>
          </w:tcPr>
          <w:p w14:paraId="668E3887" w14:textId="77777777" w:rsidR="0098457E" w:rsidRPr="00044A9E" w:rsidRDefault="0098457E" w:rsidP="004213EA">
            <w:pPr>
              <w:rPr>
                <w:rFonts w:ascii="Arial" w:hAnsi="Arial" w:cs="Arial"/>
              </w:rPr>
            </w:pPr>
          </w:p>
        </w:tc>
        <w:tc>
          <w:tcPr>
            <w:tcW w:w="5670" w:type="dxa"/>
            <w:shd w:val="clear" w:color="auto" w:fill="FFFFFF" w:themeFill="background1"/>
          </w:tcPr>
          <w:p w14:paraId="791B8036" w14:textId="77777777" w:rsidR="0098457E" w:rsidRPr="00044A9E" w:rsidRDefault="0098457E" w:rsidP="004213EA">
            <w:pPr>
              <w:rPr>
                <w:rFonts w:ascii="Arial" w:hAnsi="Arial" w:cs="Arial"/>
              </w:rPr>
            </w:pPr>
          </w:p>
        </w:tc>
        <w:tc>
          <w:tcPr>
            <w:tcW w:w="2187" w:type="dxa"/>
            <w:shd w:val="clear" w:color="auto" w:fill="FFFFFF" w:themeFill="background1"/>
          </w:tcPr>
          <w:p w14:paraId="2F128A69" w14:textId="77777777" w:rsidR="0098457E" w:rsidRPr="00044A9E" w:rsidRDefault="0098457E" w:rsidP="004213EA">
            <w:pPr>
              <w:rPr>
                <w:rFonts w:ascii="Arial" w:hAnsi="Arial" w:cs="Arial"/>
              </w:rPr>
            </w:pPr>
          </w:p>
        </w:tc>
      </w:tr>
    </w:tbl>
    <w:p w14:paraId="2E3295AE" w14:textId="77777777" w:rsidR="00DD37F6" w:rsidRPr="00044A9E" w:rsidRDefault="00DD37F6" w:rsidP="004213EA">
      <w:pPr>
        <w:rPr>
          <w:rFonts w:ascii="Arial" w:hAnsi="Arial" w:cs="Arial"/>
          <w:b/>
          <w:color w:val="1F3864" w:themeColor="accent1" w:themeShade="80"/>
          <w:sz w:val="28"/>
        </w:rPr>
      </w:pPr>
    </w:p>
    <w:p w14:paraId="5691527E" w14:textId="77777777" w:rsidR="0075694B" w:rsidRPr="00044A9E" w:rsidRDefault="0075694B" w:rsidP="0075694B">
      <w:pPr>
        <w:rPr>
          <w:rFonts w:ascii="Arial" w:hAnsi="Arial" w:cs="Arial"/>
          <w:b/>
          <w:color w:val="244061"/>
          <w:sz w:val="28"/>
          <w:szCs w:val="28"/>
        </w:rPr>
      </w:pPr>
      <w:r w:rsidRPr="00044A9E">
        <w:rPr>
          <w:rFonts w:ascii="Arial" w:hAnsi="Arial" w:cs="Arial"/>
          <w:b/>
          <w:color w:val="244061"/>
          <w:sz w:val="28"/>
          <w:szCs w:val="28"/>
        </w:rPr>
        <w:t xml:space="preserve">Observations from the provider on content of report </w:t>
      </w:r>
    </w:p>
    <w:tbl>
      <w:tblPr>
        <w:tblStyle w:val="TableGrid"/>
        <w:tblW w:w="0" w:type="auto"/>
        <w:tblInd w:w="-5" w:type="dxa"/>
        <w:tblLook w:val="04A0" w:firstRow="1" w:lastRow="0" w:firstColumn="1" w:lastColumn="0" w:noHBand="0" w:noVBand="1"/>
      </w:tblPr>
      <w:tblGrid>
        <w:gridCol w:w="13953"/>
      </w:tblGrid>
      <w:tr w:rsidR="0075694B" w:rsidRPr="00044A9E" w14:paraId="1701DF57" w14:textId="77777777" w:rsidTr="00BA0A18">
        <w:tc>
          <w:tcPr>
            <w:tcW w:w="13953" w:type="dxa"/>
          </w:tcPr>
          <w:p w14:paraId="2CD73A64" w14:textId="77777777" w:rsidR="0075694B" w:rsidRPr="00044A9E" w:rsidRDefault="0075694B" w:rsidP="003B65CB">
            <w:pPr>
              <w:rPr>
                <w:rFonts w:ascii="Arial" w:hAnsi="Arial" w:cs="Arial"/>
                <w:b/>
                <w:color w:val="365F91"/>
              </w:rPr>
            </w:pPr>
          </w:p>
          <w:p w14:paraId="74DFA104" w14:textId="2AC5EC78" w:rsidR="003B65CB" w:rsidRPr="009E39E3" w:rsidRDefault="000332A9" w:rsidP="003B65CB">
            <w:pPr>
              <w:rPr>
                <w:rFonts w:ascii="Arial" w:hAnsi="Arial" w:cs="Arial"/>
                <w:bCs/>
              </w:rPr>
            </w:pPr>
            <w:r w:rsidRPr="009E39E3">
              <w:rPr>
                <w:rFonts w:ascii="Arial" w:hAnsi="Arial" w:cs="Arial"/>
                <w:bCs/>
              </w:rPr>
              <w:t xml:space="preserve">The </w:t>
            </w:r>
            <w:r w:rsidR="004E37AD">
              <w:rPr>
                <w:rFonts w:ascii="Arial" w:hAnsi="Arial" w:cs="Arial"/>
                <w:bCs/>
              </w:rPr>
              <w:t>S</w:t>
            </w:r>
            <w:r w:rsidRPr="009E39E3">
              <w:rPr>
                <w:rFonts w:ascii="Arial" w:hAnsi="Arial" w:cs="Arial"/>
                <w:bCs/>
              </w:rPr>
              <w:t xml:space="preserve">chool would like to thank the GDC Inspection Team for their fairness, professionalism and insight during the inspection process, which is reflected in the content of this report. </w:t>
            </w:r>
          </w:p>
          <w:p w14:paraId="2BA93FD0" w14:textId="57E7DB94" w:rsidR="003B65CB" w:rsidRPr="00044A9E" w:rsidRDefault="003B65CB" w:rsidP="003B65CB">
            <w:pPr>
              <w:rPr>
                <w:rFonts w:ascii="Arial" w:hAnsi="Arial" w:cs="Arial"/>
                <w:b/>
                <w:color w:val="365F91"/>
              </w:rPr>
            </w:pPr>
          </w:p>
        </w:tc>
      </w:tr>
    </w:tbl>
    <w:p w14:paraId="059D96FB" w14:textId="77777777" w:rsidR="00DA6B7C" w:rsidRPr="00044A9E" w:rsidRDefault="00DA6B7C" w:rsidP="004213EA">
      <w:pPr>
        <w:rPr>
          <w:rFonts w:ascii="Arial" w:hAnsi="Arial" w:cs="Arial"/>
          <w:b/>
          <w:color w:val="1F3864" w:themeColor="accent1" w:themeShade="80"/>
          <w:sz w:val="28"/>
        </w:rPr>
      </w:pPr>
    </w:p>
    <w:p w14:paraId="2C1B6DB5" w14:textId="77777777" w:rsidR="0075694B" w:rsidRPr="00044A9E" w:rsidRDefault="0075694B" w:rsidP="0075694B">
      <w:pPr>
        <w:rPr>
          <w:rFonts w:ascii="Arial" w:hAnsi="Arial" w:cs="Arial"/>
          <w:b/>
          <w:color w:val="244061"/>
          <w:sz w:val="28"/>
          <w:szCs w:val="28"/>
        </w:rPr>
      </w:pPr>
      <w:r w:rsidRPr="00044A9E">
        <w:rPr>
          <w:rFonts w:ascii="Arial" w:hAnsi="Arial" w:cs="Arial"/>
          <w:b/>
          <w:color w:val="244061"/>
          <w:sz w:val="28"/>
          <w:szCs w:val="28"/>
        </w:rPr>
        <w:t>Recommendations to the GDC</w:t>
      </w:r>
    </w:p>
    <w:p w14:paraId="176C7E66" w14:textId="3839BABD" w:rsidR="002546AF" w:rsidRPr="00044A9E" w:rsidRDefault="002546AF" w:rsidP="000E3F78">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6091"/>
        <w:gridCol w:w="7857"/>
      </w:tblGrid>
      <w:tr w:rsidR="002546AF" w:rsidRPr="00044A9E" w14:paraId="4289ED4B" w14:textId="77777777" w:rsidTr="00682FCA">
        <w:tc>
          <w:tcPr>
            <w:tcW w:w="6091" w:type="dxa"/>
            <w:shd w:val="clear" w:color="auto" w:fill="2F5496" w:themeFill="accent1" w:themeFillShade="BF"/>
          </w:tcPr>
          <w:p w14:paraId="33FADD9D" w14:textId="4B334455" w:rsidR="002546AF" w:rsidRPr="00044A9E" w:rsidRDefault="00E354C6" w:rsidP="000E3F78">
            <w:pPr>
              <w:autoSpaceDE w:val="0"/>
              <w:autoSpaceDN w:val="0"/>
              <w:adjustRightInd w:val="0"/>
              <w:rPr>
                <w:rFonts w:ascii="Arial" w:hAnsi="Arial" w:cs="Arial"/>
                <w:b/>
                <w:color w:val="FFFFFF" w:themeColor="background1"/>
              </w:rPr>
            </w:pPr>
            <w:r w:rsidRPr="00044A9E">
              <w:rPr>
                <w:rFonts w:ascii="Arial" w:hAnsi="Arial" w:cs="Arial"/>
                <w:b/>
                <w:color w:val="FFFFFF" w:themeColor="background1"/>
              </w:rPr>
              <w:t>Education associates’</w:t>
            </w:r>
            <w:r w:rsidR="002546AF" w:rsidRPr="00044A9E">
              <w:rPr>
                <w:rFonts w:ascii="Arial" w:hAnsi="Arial" w:cs="Arial"/>
                <w:b/>
                <w:color w:val="FFFFFF" w:themeColor="background1"/>
              </w:rPr>
              <w:t xml:space="preserve"> recommendation</w:t>
            </w:r>
          </w:p>
        </w:tc>
        <w:tc>
          <w:tcPr>
            <w:tcW w:w="7857" w:type="dxa"/>
          </w:tcPr>
          <w:p w14:paraId="3A14944C" w14:textId="6AFEFC66" w:rsidR="002546AF" w:rsidRPr="00044A9E" w:rsidRDefault="003835BD" w:rsidP="000E3F78">
            <w:pPr>
              <w:autoSpaceDE w:val="0"/>
              <w:autoSpaceDN w:val="0"/>
              <w:adjustRightInd w:val="0"/>
              <w:rPr>
                <w:rFonts w:ascii="Arial" w:hAnsi="Arial" w:cs="Arial"/>
                <w:color w:val="000000"/>
              </w:rPr>
            </w:pPr>
            <w:r w:rsidRPr="00044A9E">
              <w:rPr>
                <w:rFonts w:ascii="Arial" w:hAnsi="Arial" w:cs="Arial"/>
                <w:color w:val="000000"/>
              </w:rPr>
              <w:t>The</w:t>
            </w:r>
            <w:r w:rsidR="00426F3D">
              <w:rPr>
                <w:rFonts w:ascii="Arial" w:hAnsi="Arial" w:cs="Arial"/>
                <w:color w:val="000000"/>
              </w:rPr>
              <w:t xml:space="preserve"> </w:t>
            </w:r>
            <w:r w:rsidR="00426F3D" w:rsidRPr="00E26B6E">
              <w:rPr>
                <w:rFonts w:ascii="Arial" w:hAnsi="Arial" w:cs="Arial"/>
                <w:color w:val="000000"/>
              </w:rPr>
              <w:t>Bachelor of Dental Surgery</w:t>
            </w:r>
            <w:r w:rsidR="00E26B6E" w:rsidRPr="00E26B6E">
              <w:rPr>
                <w:rFonts w:ascii="Arial" w:hAnsi="Arial" w:cs="Arial"/>
                <w:color w:val="000000"/>
              </w:rPr>
              <w:t xml:space="preserve"> </w:t>
            </w:r>
            <w:r w:rsidR="002546AF" w:rsidRPr="00E26B6E">
              <w:rPr>
                <w:rFonts w:ascii="Arial" w:hAnsi="Arial" w:cs="Arial"/>
                <w:color w:val="000000"/>
              </w:rPr>
              <w:t xml:space="preserve">continues to be </w:t>
            </w:r>
            <w:r w:rsidR="00B70CE3" w:rsidRPr="00E26B6E">
              <w:rPr>
                <w:rFonts w:ascii="Arial" w:hAnsi="Arial" w:cs="Arial"/>
                <w:color w:val="000000"/>
              </w:rPr>
              <w:t>sufficient</w:t>
            </w:r>
            <w:r w:rsidRPr="00E26B6E">
              <w:rPr>
                <w:rFonts w:ascii="Arial" w:hAnsi="Arial" w:cs="Arial"/>
                <w:color w:val="000000"/>
              </w:rPr>
              <w:t xml:space="preserve"> </w:t>
            </w:r>
            <w:r w:rsidR="002546AF" w:rsidRPr="00E26B6E">
              <w:rPr>
                <w:rFonts w:ascii="Arial" w:hAnsi="Arial" w:cs="Arial"/>
                <w:color w:val="000000"/>
              </w:rPr>
              <w:t xml:space="preserve">for holders to apply for registration as a </w:t>
            </w:r>
            <w:r w:rsidR="00E26B6E" w:rsidRPr="00E26B6E">
              <w:rPr>
                <w:rFonts w:ascii="Arial" w:hAnsi="Arial" w:cs="Arial"/>
                <w:color w:val="000000"/>
              </w:rPr>
              <w:t xml:space="preserve">dentist </w:t>
            </w:r>
            <w:r w:rsidR="002546AF" w:rsidRPr="00E26B6E">
              <w:rPr>
                <w:rFonts w:ascii="Arial" w:hAnsi="Arial" w:cs="Arial"/>
                <w:color w:val="000000"/>
              </w:rPr>
              <w:t>with the General Dental Council</w:t>
            </w:r>
            <w:r w:rsidR="00200492" w:rsidRPr="00E26B6E">
              <w:rPr>
                <w:rFonts w:ascii="Arial" w:hAnsi="Arial" w:cs="Arial"/>
                <w:color w:val="000000"/>
              </w:rPr>
              <w:t>.</w:t>
            </w:r>
            <w:r w:rsidR="00200492" w:rsidRPr="00044A9E">
              <w:rPr>
                <w:rFonts w:ascii="Arial" w:hAnsi="Arial" w:cs="Arial"/>
                <w:color w:val="000000"/>
              </w:rPr>
              <w:t xml:space="preserve"> </w:t>
            </w:r>
          </w:p>
        </w:tc>
      </w:tr>
      <w:tr w:rsidR="002546AF" w:rsidRPr="00044A9E" w14:paraId="5D292165" w14:textId="77777777" w:rsidTr="00682FCA">
        <w:trPr>
          <w:trHeight w:val="301"/>
        </w:trPr>
        <w:tc>
          <w:tcPr>
            <w:tcW w:w="6091" w:type="dxa"/>
            <w:shd w:val="clear" w:color="auto" w:fill="2F5496" w:themeFill="accent1" w:themeFillShade="BF"/>
          </w:tcPr>
          <w:p w14:paraId="522D1C7D" w14:textId="758BA542" w:rsidR="002546AF" w:rsidRPr="00044A9E" w:rsidRDefault="002546AF" w:rsidP="000E3F78">
            <w:pPr>
              <w:autoSpaceDE w:val="0"/>
              <w:autoSpaceDN w:val="0"/>
              <w:adjustRightInd w:val="0"/>
              <w:rPr>
                <w:rFonts w:ascii="Arial" w:hAnsi="Arial" w:cs="Arial"/>
                <w:b/>
                <w:color w:val="FFFFFF" w:themeColor="background1"/>
              </w:rPr>
            </w:pPr>
            <w:r w:rsidRPr="00044A9E">
              <w:rPr>
                <w:rFonts w:ascii="Arial" w:hAnsi="Arial" w:cs="Arial"/>
                <w:b/>
                <w:color w:val="FFFFFF" w:themeColor="background1"/>
              </w:rPr>
              <w:t>Date of next regular monitoring exercise</w:t>
            </w:r>
            <w:r w:rsidR="00E354C6" w:rsidRPr="00044A9E">
              <w:rPr>
                <w:rFonts w:ascii="Arial" w:hAnsi="Arial" w:cs="Arial"/>
                <w:b/>
                <w:color w:val="FFFFFF" w:themeColor="background1"/>
              </w:rPr>
              <w:t xml:space="preserve"> </w:t>
            </w:r>
          </w:p>
        </w:tc>
        <w:tc>
          <w:tcPr>
            <w:tcW w:w="7857" w:type="dxa"/>
          </w:tcPr>
          <w:p w14:paraId="27AAC3E0" w14:textId="2D67C60C" w:rsidR="002546AF" w:rsidRPr="00044A9E" w:rsidRDefault="005E381C" w:rsidP="000E3F78">
            <w:pPr>
              <w:autoSpaceDE w:val="0"/>
              <w:autoSpaceDN w:val="0"/>
              <w:adjustRightInd w:val="0"/>
              <w:rPr>
                <w:rFonts w:ascii="Arial" w:hAnsi="Arial" w:cs="Arial"/>
                <w:color w:val="000000"/>
              </w:rPr>
            </w:pPr>
            <w:r>
              <w:rPr>
                <w:rFonts w:ascii="Arial" w:hAnsi="Arial" w:cs="Arial"/>
                <w:color w:val="000000"/>
              </w:rPr>
              <w:t>2025/2026</w:t>
            </w:r>
          </w:p>
        </w:tc>
      </w:tr>
    </w:tbl>
    <w:p w14:paraId="19BDBA88" w14:textId="77777777" w:rsidR="002546AF" w:rsidRPr="00044A9E" w:rsidRDefault="002546AF" w:rsidP="000E3F78">
      <w:pPr>
        <w:autoSpaceDE w:val="0"/>
        <w:autoSpaceDN w:val="0"/>
        <w:adjustRightInd w:val="0"/>
        <w:spacing w:after="0" w:line="240" w:lineRule="auto"/>
        <w:rPr>
          <w:rFonts w:ascii="Arial" w:hAnsi="Arial" w:cs="Arial"/>
          <w:color w:val="000000"/>
        </w:rPr>
      </w:pPr>
    </w:p>
    <w:p w14:paraId="0482BA1F" w14:textId="77777777" w:rsidR="00A208AA" w:rsidRPr="00044A9E" w:rsidRDefault="00A208AA" w:rsidP="000E3F78">
      <w:pPr>
        <w:autoSpaceDE w:val="0"/>
        <w:autoSpaceDN w:val="0"/>
        <w:adjustRightInd w:val="0"/>
        <w:spacing w:after="0" w:line="240" w:lineRule="auto"/>
        <w:rPr>
          <w:rFonts w:ascii="Arial" w:hAnsi="Arial" w:cs="Arial"/>
          <w:color w:val="000000"/>
        </w:rPr>
      </w:pPr>
    </w:p>
    <w:p w14:paraId="579BC4E9" w14:textId="77777777" w:rsidR="00A208AA" w:rsidRPr="00044A9E" w:rsidRDefault="00A208AA" w:rsidP="000E3F78">
      <w:pPr>
        <w:autoSpaceDE w:val="0"/>
        <w:autoSpaceDN w:val="0"/>
        <w:adjustRightInd w:val="0"/>
        <w:spacing w:after="0" w:line="240" w:lineRule="auto"/>
        <w:rPr>
          <w:rFonts w:ascii="Arial" w:hAnsi="Arial" w:cs="Arial"/>
          <w:color w:val="000000"/>
        </w:rPr>
      </w:pPr>
    </w:p>
    <w:p w14:paraId="3D27EBF2" w14:textId="77777777" w:rsidR="00CB6EEE" w:rsidRPr="00044A9E" w:rsidRDefault="006B5F1C">
      <w:pPr>
        <w:rPr>
          <w:rFonts w:ascii="Arial" w:hAnsi="Arial" w:cs="Arial"/>
          <w:color w:val="000000"/>
        </w:rPr>
        <w:sectPr w:rsidR="00CB6EEE" w:rsidRPr="00044A9E" w:rsidSect="000A5894">
          <w:pgSz w:w="16838" w:h="11906" w:orient="landscape"/>
          <w:pgMar w:top="1440" w:right="1440" w:bottom="1440" w:left="1440" w:header="709" w:footer="709" w:gutter="0"/>
          <w:cols w:space="708"/>
          <w:docGrid w:linePitch="360"/>
        </w:sectPr>
      </w:pPr>
      <w:r w:rsidRPr="00044A9E">
        <w:rPr>
          <w:rFonts w:ascii="Arial" w:hAnsi="Arial" w:cs="Arial"/>
          <w:color w:val="000000"/>
        </w:rPr>
        <w:br w:type="page"/>
      </w:r>
    </w:p>
    <w:p w14:paraId="0258236F" w14:textId="53B2421B" w:rsidR="006B5F1C" w:rsidRPr="00044A9E" w:rsidRDefault="00CB6EEE" w:rsidP="006B5F1C">
      <w:pPr>
        <w:pStyle w:val="Default"/>
        <w:rPr>
          <w:b/>
          <w:bCs/>
          <w:sz w:val="28"/>
          <w:szCs w:val="28"/>
        </w:rPr>
      </w:pPr>
      <w:r w:rsidRPr="00044A9E">
        <w:rPr>
          <w:b/>
          <w:bCs/>
          <w:sz w:val="28"/>
          <w:szCs w:val="28"/>
        </w:rPr>
        <w:lastRenderedPageBreak/>
        <w:t>Ann</w:t>
      </w:r>
      <w:r w:rsidR="006B5F1C" w:rsidRPr="00044A9E">
        <w:rPr>
          <w:b/>
          <w:bCs/>
          <w:sz w:val="28"/>
          <w:szCs w:val="28"/>
        </w:rPr>
        <w:t xml:space="preserve">ex 1 </w:t>
      </w:r>
    </w:p>
    <w:p w14:paraId="6224E51B" w14:textId="77777777" w:rsidR="00F0414F" w:rsidRPr="00044A9E" w:rsidRDefault="00F0414F" w:rsidP="006B5F1C">
      <w:pPr>
        <w:pStyle w:val="Default"/>
        <w:rPr>
          <w:sz w:val="28"/>
          <w:szCs w:val="28"/>
        </w:rPr>
      </w:pPr>
    </w:p>
    <w:p w14:paraId="0A53F952" w14:textId="2A98E4F1" w:rsidR="006B5F1C" w:rsidRPr="00044A9E" w:rsidRDefault="006B5F1C" w:rsidP="006B5F1C">
      <w:pPr>
        <w:pStyle w:val="Default"/>
        <w:rPr>
          <w:b/>
          <w:bCs/>
          <w:sz w:val="22"/>
          <w:szCs w:val="22"/>
        </w:rPr>
      </w:pPr>
      <w:r w:rsidRPr="00044A9E">
        <w:rPr>
          <w:b/>
          <w:bCs/>
          <w:sz w:val="22"/>
          <w:szCs w:val="22"/>
        </w:rPr>
        <w:t xml:space="preserve">Inspection purpose and process </w:t>
      </w:r>
    </w:p>
    <w:p w14:paraId="22A747B0" w14:textId="31631BF1" w:rsidR="00A208AA" w:rsidRPr="00044A9E" w:rsidRDefault="00A208AA" w:rsidP="000E3F78">
      <w:pPr>
        <w:autoSpaceDE w:val="0"/>
        <w:autoSpaceDN w:val="0"/>
        <w:adjustRightInd w:val="0"/>
        <w:spacing w:after="0" w:line="240" w:lineRule="auto"/>
        <w:rPr>
          <w:rFonts w:ascii="Arial" w:hAnsi="Arial" w:cs="Arial"/>
          <w:color w:val="000000"/>
        </w:rPr>
      </w:pPr>
    </w:p>
    <w:p w14:paraId="164916AA"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0CF74743" w14:textId="77777777"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 xml:space="preserve">1. As part of its duty to protect patients and promote high standards within the professions it regulates, the General Dental Council (GDC) quality assures the education and training of student dentists and dental care professionals (DCPs) at institutions whose qualifications enable the holder to apply for registration with the GDC. It also quality assures new qualifications where it is intended that the qualification will lead to registration. The aim of this quality assurance activity is to ensure that institutions produce a new registrant who has demonstrated, on graduation, that they have met the learning outcomes required for registration with the GDC. This ensures that students who obtain a qualification leading to registration are fit to practise at the level of a safe beginner. </w:t>
      </w:r>
    </w:p>
    <w:p w14:paraId="05757E1B"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07737E18" w14:textId="5D75BA17"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 xml:space="preserve">2. Inspections are a key element of the GDC’s quality assurance activity. They enable a recommendation to be made to the Council of the GDC regarding the ‘sufficiency’ of the programme for registration as a dentist and ‘approval’ of the programme for registration as a dental care professional. The GDC’s powers are derived under Part II, Section 9 of the Dentists Act 1984 (as amended). </w:t>
      </w:r>
    </w:p>
    <w:p w14:paraId="0870EE3C" w14:textId="77777777" w:rsidR="006630F1" w:rsidRPr="00044A9E" w:rsidRDefault="006630F1" w:rsidP="00072B60">
      <w:pPr>
        <w:autoSpaceDE w:val="0"/>
        <w:autoSpaceDN w:val="0"/>
        <w:adjustRightInd w:val="0"/>
        <w:spacing w:after="0" w:line="240" w:lineRule="auto"/>
        <w:rPr>
          <w:rFonts w:ascii="Arial" w:hAnsi="Arial" w:cs="Arial"/>
          <w:color w:val="000000"/>
        </w:rPr>
      </w:pPr>
    </w:p>
    <w:p w14:paraId="74B91F9B" w14:textId="77777777"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 xml:space="preserve">3. The GDC document ‘Standards for Education’ 2nd edition1 is the framework used to evaluate qualifications. There are 21 Requirements in three distinct Standards, against which each qualification is assessed. </w:t>
      </w:r>
    </w:p>
    <w:p w14:paraId="7CFE62AF"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461CCAA3" w14:textId="77777777"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 xml:space="preserve">4. The education provider is requested to undertake a self-evaluation of the programme against the individual Requirements under the Standards for Education. This involves stating whether each Requirement is ‘met’, ‘partly met’ or ‘not met’ and to provide evidence in support of their evaluation. The inspection panel examines this evidence, may request further documentary evidence and gathers further evidence from discussions with staff and students. The panel will reach a decision on each Requirement, using the following descriptors: </w:t>
      </w:r>
    </w:p>
    <w:p w14:paraId="59969AD1"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01BE2855" w14:textId="77777777"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 xml:space="preserve">A Requirement is met if: </w:t>
      </w:r>
    </w:p>
    <w:p w14:paraId="771E07A3"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5617F259" w14:textId="31ED3C2E"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 xml:space="preserve">“There is sufficient appropriate evidence derived from the inspection process. This evidence provides the </w:t>
      </w:r>
      <w:r w:rsidR="000A44A5" w:rsidRPr="00044A9E">
        <w:rPr>
          <w:rFonts w:ascii="Arial" w:hAnsi="Arial" w:cs="Arial"/>
          <w:color w:val="000000"/>
        </w:rPr>
        <w:t xml:space="preserve">education associates </w:t>
      </w:r>
      <w:r w:rsidRPr="00044A9E">
        <w:rPr>
          <w:rFonts w:ascii="Arial" w:hAnsi="Arial" w:cs="Arial"/>
          <w:color w:val="000000"/>
        </w:rPr>
        <w:t xml:space="preserve">with broad confidence that the provider demonstrates the Requirement. Information gathered through meetings with staff and students is supportive of documentary evidence and the evidence is robust, consistent and not contradictory. There may be minor deficiencies in the evidence supplied but these are likely to be inconsequential.” </w:t>
      </w:r>
    </w:p>
    <w:p w14:paraId="6FB93418"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2F106EE9" w14:textId="77777777"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 xml:space="preserve">A Requirement is partly met if: </w:t>
      </w:r>
    </w:p>
    <w:p w14:paraId="247BB398"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38A5849E" w14:textId="77777777"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“Evidence derived from the inspection process is either incomplete or lacks detail and, as such, fails to convince the inspection panel that the provider fully demonstrates the Requirement. Information gathered through meetings with staff and students may not fully support the evidence submitted or there may be contradictory information in the evidence provided. There is, however, some evidence of compliance and it is likely that either (a) the appropriate evidence can be supplied in a short time frame, or, (b) any deficiencies identified can be addressed and evidenced in the annual monitoring process.”</w:t>
      </w:r>
    </w:p>
    <w:p w14:paraId="40DD764B"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0B0FED5F" w14:textId="77777777"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A Requirement is not met if:</w:t>
      </w:r>
    </w:p>
    <w:p w14:paraId="7D120BFB"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38629E69" w14:textId="77777777"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lastRenderedPageBreak/>
        <w:t xml:space="preserve">“The provider cannot provide evidence to demonstrate a Requirement or the evidence provided is not convincing. The information gathered at the inspection through meetings with staff and students does not support the evidence provided or the evidence is inconsistent and/or incompatible with other findings. The deficiencies identified are such as to give rise to serious concern and will require an immediate action plan from the provider. The consequences of not meeting a Requirement in terms of the overall sufficiency of a programme will depend upon the compliance of the provider across the range of Requirements and the possible implications for public protection” </w:t>
      </w:r>
    </w:p>
    <w:p w14:paraId="3A63F04C"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27065865" w14:textId="56DACE3F"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 xml:space="preserve">5. Inspection reports highlight areas of strength and draw attention to areas requiring improvement and development, including actions that are required to be undertaken by the provider. </w:t>
      </w:r>
      <w:bookmarkStart w:id="0" w:name="_Hlk48834156"/>
      <w:r w:rsidRPr="00044A9E">
        <w:rPr>
          <w:rFonts w:ascii="Arial" w:hAnsi="Arial" w:cs="Arial"/>
          <w:color w:val="000000"/>
        </w:rPr>
        <w:t xml:space="preserve">Where an action is needed for a Requirement to be met, </w:t>
      </w:r>
      <w:bookmarkStart w:id="1" w:name="_Hlk48834100"/>
      <w:r w:rsidRPr="00044A9E">
        <w:rPr>
          <w:rFonts w:ascii="Arial" w:hAnsi="Arial" w:cs="Arial"/>
          <w:color w:val="000000"/>
        </w:rPr>
        <w:t xml:space="preserve">the term ‘must’ is used to describe the obligation on the provider to undertake this action. For these actions the </w:t>
      </w:r>
      <w:r w:rsidR="000A44A5" w:rsidRPr="00044A9E">
        <w:rPr>
          <w:rFonts w:ascii="Arial" w:hAnsi="Arial" w:cs="Arial"/>
          <w:color w:val="000000"/>
        </w:rPr>
        <w:t xml:space="preserve">education associates </w:t>
      </w:r>
      <w:r w:rsidR="007C7855" w:rsidRPr="00044A9E">
        <w:rPr>
          <w:rFonts w:ascii="Arial" w:hAnsi="Arial" w:cs="Arial"/>
          <w:color w:val="000000"/>
        </w:rPr>
        <w:t>must</w:t>
      </w:r>
      <w:r w:rsidRPr="00044A9E">
        <w:rPr>
          <w:rFonts w:ascii="Arial" w:hAnsi="Arial" w:cs="Arial"/>
          <w:color w:val="000000"/>
        </w:rPr>
        <w:t xml:space="preserve"> stipulate a specific timescale by which the action must be completed or when an update on progress must be provided</w:t>
      </w:r>
      <w:bookmarkEnd w:id="0"/>
      <w:bookmarkEnd w:id="1"/>
      <w:r w:rsidRPr="00044A9E">
        <w:rPr>
          <w:rFonts w:ascii="Arial" w:hAnsi="Arial" w:cs="Arial"/>
          <w:color w:val="000000"/>
        </w:rPr>
        <w:t xml:space="preserve">. In their observations on the content of the report, the provider should confirm the anticipated date by which these actions will be completed. </w:t>
      </w:r>
      <w:bookmarkStart w:id="2" w:name="_Hlk48834274"/>
      <w:r w:rsidRPr="00044A9E">
        <w:rPr>
          <w:rFonts w:ascii="Arial" w:hAnsi="Arial" w:cs="Arial"/>
          <w:color w:val="000000"/>
        </w:rPr>
        <w:t>Where an action would improve how a Requirement is met, the term ‘should’ is used and for these actions there will be no due date stipulated</w:t>
      </w:r>
      <w:bookmarkEnd w:id="2"/>
      <w:r w:rsidRPr="00044A9E">
        <w:rPr>
          <w:rFonts w:ascii="Arial" w:hAnsi="Arial" w:cs="Arial"/>
          <w:color w:val="000000"/>
        </w:rPr>
        <w:t xml:space="preserve">. Providers will be asked to report on the progress in addressing the required actions through the monitoring process. Serious concerns about a lack of progress may result in further inspections or other quality assurance activity. </w:t>
      </w:r>
    </w:p>
    <w:p w14:paraId="3979EACA"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153127E5" w14:textId="33EB5338" w:rsidR="00072B60" w:rsidRPr="00044A9E" w:rsidRDefault="00072B60" w:rsidP="00072B60">
      <w:pPr>
        <w:autoSpaceDE w:val="0"/>
        <w:autoSpaceDN w:val="0"/>
        <w:adjustRightInd w:val="0"/>
        <w:spacing w:after="0" w:line="240" w:lineRule="auto"/>
        <w:rPr>
          <w:rFonts w:ascii="Arial" w:hAnsi="Arial" w:cs="Arial"/>
          <w:color w:val="000000"/>
        </w:rPr>
      </w:pPr>
      <w:r w:rsidRPr="00044A9E">
        <w:rPr>
          <w:rFonts w:ascii="Arial" w:hAnsi="Arial" w:cs="Arial"/>
          <w:color w:val="000000"/>
        </w:rPr>
        <w:t xml:space="preserve">6. The </w:t>
      </w:r>
      <w:r w:rsidR="006630F1" w:rsidRPr="00044A9E">
        <w:rPr>
          <w:rFonts w:ascii="Arial" w:hAnsi="Arial" w:cs="Arial"/>
          <w:color w:val="000000"/>
        </w:rPr>
        <w:t>E</w:t>
      </w:r>
      <w:r w:rsidR="000A44A5" w:rsidRPr="00044A9E">
        <w:rPr>
          <w:rFonts w:ascii="Arial" w:hAnsi="Arial" w:cs="Arial"/>
          <w:color w:val="000000"/>
        </w:rPr>
        <w:t xml:space="preserve">ducation Quality Assurance </w:t>
      </w:r>
      <w:r w:rsidRPr="00044A9E">
        <w:rPr>
          <w:rFonts w:ascii="Arial" w:hAnsi="Arial" w:cs="Arial"/>
          <w:color w:val="000000"/>
        </w:rPr>
        <w:t xml:space="preserve">team aims to send an initial draft of the inspection report to the provider within two months of the conclusion of the inspection. The provider of the qualification has the opportunity to provide factual corrections on the draft report. Following the production of the final report the provider is asked to submit observations on, or objections to, the report and the actions listed. Where the inspection panel have recommended that the programme is sufficient for registration, the Council of the GDC have delegated responsibility to the GDC Registrar to consider the recommendations of the panel. Should an inspection panel not be able to recommend ‘sufficiency’ or ‘approval’, the report and observations would be presented to the Council of the GDC for consideration. </w:t>
      </w:r>
    </w:p>
    <w:p w14:paraId="19D42DDF" w14:textId="77777777" w:rsidR="00072B60" w:rsidRPr="00044A9E" w:rsidRDefault="00072B60" w:rsidP="00072B60">
      <w:pPr>
        <w:autoSpaceDE w:val="0"/>
        <w:autoSpaceDN w:val="0"/>
        <w:adjustRightInd w:val="0"/>
        <w:spacing w:after="0" w:line="240" w:lineRule="auto"/>
        <w:rPr>
          <w:rFonts w:ascii="Arial" w:hAnsi="Arial" w:cs="Arial"/>
          <w:color w:val="000000"/>
        </w:rPr>
      </w:pPr>
    </w:p>
    <w:p w14:paraId="47EEB0C6" w14:textId="2C1EF068" w:rsidR="00D331B5" w:rsidRPr="00044A9E" w:rsidRDefault="00072B60" w:rsidP="003835BD">
      <w:pPr>
        <w:autoSpaceDE w:val="0"/>
        <w:autoSpaceDN w:val="0"/>
        <w:adjustRightInd w:val="0"/>
        <w:spacing w:after="0" w:line="240" w:lineRule="auto"/>
        <w:rPr>
          <w:rFonts w:ascii="Arial" w:hAnsi="Arial" w:cs="Arial"/>
          <w:color w:val="1F3864" w:themeColor="accent1" w:themeShade="80"/>
          <w:sz w:val="28"/>
        </w:rPr>
      </w:pPr>
      <w:r w:rsidRPr="00044A9E">
        <w:rPr>
          <w:rFonts w:ascii="Arial" w:hAnsi="Arial" w:cs="Arial"/>
          <w:color w:val="000000"/>
        </w:rPr>
        <w:t>7. The final version of the report and the provider’s observations are published on the GDC websit</w:t>
      </w:r>
      <w:r w:rsidR="00102531" w:rsidRPr="00044A9E">
        <w:rPr>
          <w:rFonts w:ascii="Arial" w:hAnsi="Arial" w:cs="Arial"/>
          <w:color w:val="000000"/>
        </w:rPr>
        <w:t>e.</w:t>
      </w:r>
    </w:p>
    <w:sectPr w:rsidR="00D331B5" w:rsidRPr="00044A9E" w:rsidSect="000A589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79308" w14:textId="77777777" w:rsidR="00BE6C8B" w:rsidRDefault="00BE6C8B">
      <w:pPr>
        <w:spacing w:after="0" w:line="240" w:lineRule="auto"/>
      </w:pPr>
      <w:r>
        <w:separator/>
      </w:r>
    </w:p>
  </w:endnote>
  <w:endnote w:type="continuationSeparator" w:id="0">
    <w:p w14:paraId="2C0588EE" w14:textId="77777777" w:rsidR="00BE6C8B" w:rsidRDefault="00BE6C8B">
      <w:pPr>
        <w:spacing w:after="0" w:line="240" w:lineRule="auto"/>
      </w:pPr>
      <w:r>
        <w:continuationSeparator/>
      </w:r>
    </w:p>
  </w:endnote>
  <w:endnote w:type="continuationNotice" w:id="1">
    <w:p w14:paraId="49BD3DED" w14:textId="77777777" w:rsidR="00BE6C8B" w:rsidRDefault="00BE6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004312"/>
      <w:docPartObj>
        <w:docPartGallery w:val="Page Numbers (Bottom of Page)"/>
        <w:docPartUnique/>
      </w:docPartObj>
    </w:sdtPr>
    <w:sdtEndPr>
      <w:rPr>
        <w:noProof/>
      </w:rPr>
    </w:sdtEndPr>
    <w:sdtContent>
      <w:p w14:paraId="1D1D7F2D" w14:textId="3BBF885B" w:rsidR="00711964" w:rsidRDefault="00711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04A63" w14:textId="4EC44631" w:rsidR="003835BD" w:rsidRPr="00CB6EEE" w:rsidRDefault="003835BD" w:rsidP="00CB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479D" w14:textId="77777777" w:rsidR="00BE6C8B" w:rsidRDefault="00BE6C8B">
      <w:pPr>
        <w:spacing w:after="0" w:line="240" w:lineRule="auto"/>
      </w:pPr>
      <w:r>
        <w:separator/>
      </w:r>
    </w:p>
  </w:footnote>
  <w:footnote w:type="continuationSeparator" w:id="0">
    <w:p w14:paraId="681B70F9" w14:textId="77777777" w:rsidR="00BE6C8B" w:rsidRDefault="00BE6C8B">
      <w:pPr>
        <w:spacing w:after="0" w:line="240" w:lineRule="auto"/>
      </w:pPr>
      <w:r>
        <w:continuationSeparator/>
      </w:r>
    </w:p>
  </w:footnote>
  <w:footnote w:type="continuationNotice" w:id="1">
    <w:p w14:paraId="026E71BF" w14:textId="77777777" w:rsidR="00BE6C8B" w:rsidRDefault="00BE6C8B">
      <w:pPr>
        <w:spacing w:after="0" w:line="240" w:lineRule="auto"/>
      </w:pPr>
    </w:p>
  </w:footnote>
  <w:footnote w:id="2">
    <w:p w14:paraId="51B743D2" w14:textId="783F00FD" w:rsidR="00F671FD" w:rsidRDefault="00F671FD">
      <w:pPr>
        <w:pStyle w:val="FootnoteText"/>
      </w:pPr>
      <w:r>
        <w:rPr>
          <w:rStyle w:val="FootnoteReference"/>
        </w:rPr>
        <w:footnoteRef/>
      </w:r>
      <w:r>
        <w:t xml:space="preserve"> All Requirements within the </w:t>
      </w:r>
      <w:r>
        <w:rPr>
          <w:i/>
        </w:rPr>
        <w:t xml:space="preserve">Standards for Education </w:t>
      </w:r>
      <w:r>
        <w:t>are applicable for all programmes</w:t>
      </w:r>
      <w:r w:rsidR="00292831">
        <w:t xml:space="preserve"> unless otherwise stated</w:t>
      </w:r>
      <w:r>
        <w:t xml:space="preserve">. Specific </w:t>
      </w:r>
      <w:r w:rsidR="000957F1">
        <w:t>r</w:t>
      </w:r>
      <w:r>
        <w:t xml:space="preserve">equirements will be examined through inspection activity </w:t>
      </w:r>
      <w:r w:rsidR="000957F1">
        <w:t>and will be identified</w:t>
      </w:r>
      <w:r>
        <w:t xml:space="preserve"> via risk analysis processes or due to current thematic reviews.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1F9"/>
    <w:multiLevelType w:val="hybridMultilevel"/>
    <w:tmpl w:val="CBF6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61A3"/>
    <w:multiLevelType w:val="hybridMultilevel"/>
    <w:tmpl w:val="A900D3F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9E968B2"/>
    <w:multiLevelType w:val="hybridMultilevel"/>
    <w:tmpl w:val="673E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9241E"/>
    <w:multiLevelType w:val="hybridMultilevel"/>
    <w:tmpl w:val="AC2E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F04A7"/>
    <w:multiLevelType w:val="hybridMultilevel"/>
    <w:tmpl w:val="2FE4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43A5A"/>
    <w:multiLevelType w:val="hybridMultilevel"/>
    <w:tmpl w:val="B4C8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733B2"/>
    <w:multiLevelType w:val="hybridMultilevel"/>
    <w:tmpl w:val="1576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901FB"/>
    <w:multiLevelType w:val="hybridMultilevel"/>
    <w:tmpl w:val="3DA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70A17"/>
    <w:multiLevelType w:val="hybridMultilevel"/>
    <w:tmpl w:val="870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1738C"/>
    <w:multiLevelType w:val="hybridMultilevel"/>
    <w:tmpl w:val="20AA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C3D38"/>
    <w:multiLevelType w:val="multilevel"/>
    <w:tmpl w:val="774C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2" w15:restartNumberingAfterBreak="0">
    <w:nsid w:val="3D646A1F"/>
    <w:multiLevelType w:val="hybridMultilevel"/>
    <w:tmpl w:val="FB9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C6BA9"/>
    <w:multiLevelType w:val="hybridMultilevel"/>
    <w:tmpl w:val="96EC706C"/>
    <w:lvl w:ilvl="0" w:tplc="B4E67BE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A6DA9"/>
    <w:multiLevelType w:val="hybridMultilevel"/>
    <w:tmpl w:val="5EBC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44135"/>
    <w:multiLevelType w:val="hybridMultilevel"/>
    <w:tmpl w:val="3A7E3ECA"/>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F6D8D"/>
    <w:multiLevelType w:val="hybridMultilevel"/>
    <w:tmpl w:val="2324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41A59"/>
    <w:multiLevelType w:val="hybridMultilevel"/>
    <w:tmpl w:val="EA2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A4BA7"/>
    <w:multiLevelType w:val="hybridMultilevel"/>
    <w:tmpl w:val="F50E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C7698C"/>
    <w:multiLevelType w:val="hybridMultilevel"/>
    <w:tmpl w:val="151C4534"/>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F0DD2"/>
    <w:multiLevelType w:val="hybridMultilevel"/>
    <w:tmpl w:val="A17C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C1C4E"/>
    <w:multiLevelType w:val="hybridMultilevel"/>
    <w:tmpl w:val="0768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623EF"/>
    <w:multiLevelType w:val="hybridMultilevel"/>
    <w:tmpl w:val="910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82ACD"/>
    <w:multiLevelType w:val="hybridMultilevel"/>
    <w:tmpl w:val="26CCE2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5A32AE"/>
    <w:multiLevelType w:val="hybridMultilevel"/>
    <w:tmpl w:val="D4C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935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141234824">
    <w:abstractNumId w:val="13"/>
  </w:num>
  <w:num w:numId="3" w16cid:durableId="1357002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1375984">
    <w:abstractNumId w:val="18"/>
  </w:num>
  <w:num w:numId="5" w16cid:durableId="832375847">
    <w:abstractNumId w:val="1"/>
  </w:num>
  <w:num w:numId="6" w16cid:durableId="1548299121">
    <w:abstractNumId w:val="8"/>
  </w:num>
  <w:num w:numId="7" w16cid:durableId="1994064754">
    <w:abstractNumId w:val="12"/>
  </w:num>
  <w:num w:numId="8" w16cid:durableId="456991935">
    <w:abstractNumId w:val="4"/>
  </w:num>
  <w:num w:numId="9" w16cid:durableId="2109961522">
    <w:abstractNumId w:val="6"/>
  </w:num>
  <w:num w:numId="10" w16cid:durableId="1505435348">
    <w:abstractNumId w:val="5"/>
  </w:num>
  <w:num w:numId="11" w16cid:durableId="613631371">
    <w:abstractNumId w:val="7"/>
  </w:num>
  <w:num w:numId="12" w16cid:durableId="886913881">
    <w:abstractNumId w:val="2"/>
  </w:num>
  <w:num w:numId="13" w16cid:durableId="1315143297">
    <w:abstractNumId w:val="24"/>
  </w:num>
  <w:num w:numId="14" w16cid:durableId="1764837366">
    <w:abstractNumId w:val="14"/>
  </w:num>
  <w:num w:numId="15" w16cid:durableId="1188907229">
    <w:abstractNumId w:val="3"/>
  </w:num>
  <w:num w:numId="16" w16cid:durableId="1141309622">
    <w:abstractNumId w:val="0"/>
  </w:num>
  <w:num w:numId="17" w16cid:durableId="387538482">
    <w:abstractNumId w:val="17"/>
  </w:num>
  <w:num w:numId="18" w16cid:durableId="810824584">
    <w:abstractNumId w:val="9"/>
  </w:num>
  <w:num w:numId="19" w16cid:durableId="886574643">
    <w:abstractNumId w:val="21"/>
  </w:num>
  <w:num w:numId="20" w16cid:durableId="365837681">
    <w:abstractNumId w:val="20"/>
  </w:num>
  <w:num w:numId="21" w16cid:durableId="1056008418">
    <w:abstractNumId w:val="22"/>
  </w:num>
  <w:num w:numId="22" w16cid:durableId="78529065">
    <w:abstractNumId w:val="16"/>
  </w:num>
  <w:num w:numId="23" w16cid:durableId="743642893">
    <w:abstractNumId w:val="19"/>
  </w:num>
  <w:num w:numId="24" w16cid:durableId="1855998412">
    <w:abstractNumId w:val="10"/>
  </w:num>
  <w:num w:numId="25" w16cid:durableId="1921865787">
    <w:abstractNumId w:val="23"/>
  </w:num>
  <w:num w:numId="26" w16cid:durableId="1139615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25"/>
    <w:rsid w:val="0000445E"/>
    <w:rsid w:val="00007790"/>
    <w:rsid w:val="000179D0"/>
    <w:rsid w:val="00017A23"/>
    <w:rsid w:val="00017CC6"/>
    <w:rsid w:val="000244B6"/>
    <w:rsid w:val="000263FF"/>
    <w:rsid w:val="000265E6"/>
    <w:rsid w:val="00026A2F"/>
    <w:rsid w:val="00026E9C"/>
    <w:rsid w:val="0003036D"/>
    <w:rsid w:val="00030773"/>
    <w:rsid w:val="00031DCF"/>
    <w:rsid w:val="000332A9"/>
    <w:rsid w:val="000367EC"/>
    <w:rsid w:val="0003751A"/>
    <w:rsid w:val="00041421"/>
    <w:rsid w:val="00044A9E"/>
    <w:rsid w:val="00052DB2"/>
    <w:rsid w:val="0005418F"/>
    <w:rsid w:val="000547FF"/>
    <w:rsid w:val="00054E19"/>
    <w:rsid w:val="00070CB5"/>
    <w:rsid w:val="00072B60"/>
    <w:rsid w:val="00074870"/>
    <w:rsid w:val="00082F5C"/>
    <w:rsid w:val="00092B15"/>
    <w:rsid w:val="00093A44"/>
    <w:rsid w:val="000957F1"/>
    <w:rsid w:val="00095D74"/>
    <w:rsid w:val="00097947"/>
    <w:rsid w:val="000A1F6C"/>
    <w:rsid w:val="000A3771"/>
    <w:rsid w:val="000A44A5"/>
    <w:rsid w:val="000A5894"/>
    <w:rsid w:val="000A6A8E"/>
    <w:rsid w:val="000B1B0A"/>
    <w:rsid w:val="000B216B"/>
    <w:rsid w:val="000C1380"/>
    <w:rsid w:val="000C1FBE"/>
    <w:rsid w:val="000C5FBE"/>
    <w:rsid w:val="000D060C"/>
    <w:rsid w:val="000D525C"/>
    <w:rsid w:val="000E18CB"/>
    <w:rsid w:val="000E3F78"/>
    <w:rsid w:val="000F09C6"/>
    <w:rsid w:val="000F0CDB"/>
    <w:rsid w:val="000F4D1B"/>
    <w:rsid w:val="001002AD"/>
    <w:rsid w:val="00102531"/>
    <w:rsid w:val="001040D9"/>
    <w:rsid w:val="00111291"/>
    <w:rsid w:val="00112751"/>
    <w:rsid w:val="0011337F"/>
    <w:rsid w:val="001263DA"/>
    <w:rsid w:val="00126535"/>
    <w:rsid w:val="00127B3C"/>
    <w:rsid w:val="00127BE3"/>
    <w:rsid w:val="0013067E"/>
    <w:rsid w:val="00134807"/>
    <w:rsid w:val="00143716"/>
    <w:rsid w:val="00146237"/>
    <w:rsid w:val="00147205"/>
    <w:rsid w:val="00151834"/>
    <w:rsid w:val="001525C5"/>
    <w:rsid w:val="0015445F"/>
    <w:rsid w:val="00162110"/>
    <w:rsid w:val="00162D52"/>
    <w:rsid w:val="0016553C"/>
    <w:rsid w:val="00165E47"/>
    <w:rsid w:val="00170A83"/>
    <w:rsid w:val="00172329"/>
    <w:rsid w:val="00174034"/>
    <w:rsid w:val="00184810"/>
    <w:rsid w:val="00192549"/>
    <w:rsid w:val="0019514A"/>
    <w:rsid w:val="001960C1"/>
    <w:rsid w:val="001B188C"/>
    <w:rsid w:val="001B18B4"/>
    <w:rsid w:val="001B383D"/>
    <w:rsid w:val="001B5223"/>
    <w:rsid w:val="001B5978"/>
    <w:rsid w:val="001B74AC"/>
    <w:rsid w:val="001C0003"/>
    <w:rsid w:val="001C7B55"/>
    <w:rsid w:val="001C7E2A"/>
    <w:rsid w:val="001D3C3E"/>
    <w:rsid w:val="001D481F"/>
    <w:rsid w:val="001D4CE4"/>
    <w:rsid w:val="001F608F"/>
    <w:rsid w:val="00200492"/>
    <w:rsid w:val="00204D49"/>
    <w:rsid w:val="00204EAF"/>
    <w:rsid w:val="00206246"/>
    <w:rsid w:val="00207120"/>
    <w:rsid w:val="0022308D"/>
    <w:rsid w:val="002234B0"/>
    <w:rsid w:val="0022378B"/>
    <w:rsid w:val="0022388D"/>
    <w:rsid w:val="00240D6E"/>
    <w:rsid w:val="00245B6D"/>
    <w:rsid w:val="00247300"/>
    <w:rsid w:val="00247653"/>
    <w:rsid w:val="002546AF"/>
    <w:rsid w:val="002663C2"/>
    <w:rsid w:val="00266415"/>
    <w:rsid w:val="00270833"/>
    <w:rsid w:val="00276CCF"/>
    <w:rsid w:val="00285152"/>
    <w:rsid w:val="002852AA"/>
    <w:rsid w:val="00292831"/>
    <w:rsid w:val="002A3F04"/>
    <w:rsid w:val="002A5B6A"/>
    <w:rsid w:val="002A6931"/>
    <w:rsid w:val="002B0116"/>
    <w:rsid w:val="002B5931"/>
    <w:rsid w:val="002B608F"/>
    <w:rsid w:val="002C2E24"/>
    <w:rsid w:val="002C5184"/>
    <w:rsid w:val="002D2365"/>
    <w:rsid w:val="002D2D20"/>
    <w:rsid w:val="002F161B"/>
    <w:rsid w:val="002F1971"/>
    <w:rsid w:val="002F6810"/>
    <w:rsid w:val="002F6BA0"/>
    <w:rsid w:val="00305AA8"/>
    <w:rsid w:val="00307ECB"/>
    <w:rsid w:val="00311D1F"/>
    <w:rsid w:val="00313BB4"/>
    <w:rsid w:val="00316DFA"/>
    <w:rsid w:val="0032063D"/>
    <w:rsid w:val="0032138B"/>
    <w:rsid w:val="00324CC6"/>
    <w:rsid w:val="00325ADE"/>
    <w:rsid w:val="00333343"/>
    <w:rsid w:val="003545D7"/>
    <w:rsid w:val="00355765"/>
    <w:rsid w:val="00365487"/>
    <w:rsid w:val="00371BF8"/>
    <w:rsid w:val="00371E21"/>
    <w:rsid w:val="00373A51"/>
    <w:rsid w:val="00375F20"/>
    <w:rsid w:val="00377E68"/>
    <w:rsid w:val="0038102F"/>
    <w:rsid w:val="003835BD"/>
    <w:rsid w:val="0038410E"/>
    <w:rsid w:val="0038522C"/>
    <w:rsid w:val="00385E72"/>
    <w:rsid w:val="003878F0"/>
    <w:rsid w:val="00390F48"/>
    <w:rsid w:val="00391607"/>
    <w:rsid w:val="00393DFA"/>
    <w:rsid w:val="00396412"/>
    <w:rsid w:val="00397235"/>
    <w:rsid w:val="00397344"/>
    <w:rsid w:val="003A37A1"/>
    <w:rsid w:val="003A5516"/>
    <w:rsid w:val="003A6898"/>
    <w:rsid w:val="003B52CA"/>
    <w:rsid w:val="003B5673"/>
    <w:rsid w:val="003B65CB"/>
    <w:rsid w:val="003C2C16"/>
    <w:rsid w:val="003D0028"/>
    <w:rsid w:val="003D0703"/>
    <w:rsid w:val="003D2B6B"/>
    <w:rsid w:val="003D4FD8"/>
    <w:rsid w:val="003E333F"/>
    <w:rsid w:val="003E5200"/>
    <w:rsid w:val="003E75AA"/>
    <w:rsid w:val="003E77A2"/>
    <w:rsid w:val="003F391B"/>
    <w:rsid w:val="003F4FB3"/>
    <w:rsid w:val="00402B20"/>
    <w:rsid w:val="00404940"/>
    <w:rsid w:val="004065F3"/>
    <w:rsid w:val="0040750F"/>
    <w:rsid w:val="004213EA"/>
    <w:rsid w:val="004256BA"/>
    <w:rsid w:val="00426B85"/>
    <w:rsid w:val="00426F3D"/>
    <w:rsid w:val="0044414E"/>
    <w:rsid w:val="004474F2"/>
    <w:rsid w:val="00447778"/>
    <w:rsid w:val="004508C5"/>
    <w:rsid w:val="00450BE6"/>
    <w:rsid w:val="00450E1A"/>
    <w:rsid w:val="004526C5"/>
    <w:rsid w:val="00456B93"/>
    <w:rsid w:val="004604B4"/>
    <w:rsid w:val="00460F90"/>
    <w:rsid w:val="0047147D"/>
    <w:rsid w:val="00474A56"/>
    <w:rsid w:val="0047751D"/>
    <w:rsid w:val="00480658"/>
    <w:rsid w:val="00480FD4"/>
    <w:rsid w:val="00483715"/>
    <w:rsid w:val="0048618D"/>
    <w:rsid w:val="004945AC"/>
    <w:rsid w:val="004A2E4D"/>
    <w:rsid w:val="004A6178"/>
    <w:rsid w:val="004B1E1C"/>
    <w:rsid w:val="004B6A0F"/>
    <w:rsid w:val="004B6B15"/>
    <w:rsid w:val="004B6CF2"/>
    <w:rsid w:val="004C5948"/>
    <w:rsid w:val="004D70AD"/>
    <w:rsid w:val="004E0A0E"/>
    <w:rsid w:val="004E258A"/>
    <w:rsid w:val="004E35F4"/>
    <w:rsid w:val="004E37AD"/>
    <w:rsid w:val="004E3EAD"/>
    <w:rsid w:val="004E5DDF"/>
    <w:rsid w:val="004E6843"/>
    <w:rsid w:val="00500C45"/>
    <w:rsid w:val="00516DDF"/>
    <w:rsid w:val="00527931"/>
    <w:rsid w:val="00530975"/>
    <w:rsid w:val="005312ED"/>
    <w:rsid w:val="00534F60"/>
    <w:rsid w:val="00537876"/>
    <w:rsid w:val="00546A08"/>
    <w:rsid w:val="005510B1"/>
    <w:rsid w:val="00552F13"/>
    <w:rsid w:val="00553F68"/>
    <w:rsid w:val="00554BBE"/>
    <w:rsid w:val="00557BD1"/>
    <w:rsid w:val="00561077"/>
    <w:rsid w:val="00561367"/>
    <w:rsid w:val="00564251"/>
    <w:rsid w:val="00570D95"/>
    <w:rsid w:val="00572C24"/>
    <w:rsid w:val="00584127"/>
    <w:rsid w:val="005924BC"/>
    <w:rsid w:val="0059313E"/>
    <w:rsid w:val="00593442"/>
    <w:rsid w:val="00593670"/>
    <w:rsid w:val="005B1C02"/>
    <w:rsid w:val="005B5D66"/>
    <w:rsid w:val="005B65D1"/>
    <w:rsid w:val="005C0373"/>
    <w:rsid w:val="005C4D61"/>
    <w:rsid w:val="005D182F"/>
    <w:rsid w:val="005D3230"/>
    <w:rsid w:val="005E381C"/>
    <w:rsid w:val="005F3032"/>
    <w:rsid w:val="005F525E"/>
    <w:rsid w:val="005F69AC"/>
    <w:rsid w:val="00600B86"/>
    <w:rsid w:val="00621200"/>
    <w:rsid w:val="006227DF"/>
    <w:rsid w:val="0062560B"/>
    <w:rsid w:val="0062575D"/>
    <w:rsid w:val="0063356D"/>
    <w:rsid w:val="006354B8"/>
    <w:rsid w:val="00641FE2"/>
    <w:rsid w:val="00642ADD"/>
    <w:rsid w:val="00647173"/>
    <w:rsid w:val="006505BC"/>
    <w:rsid w:val="0065324F"/>
    <w:rsid w:val="00656B3E"/>
    <w:rsid w:val="00660481"/>
    <w:rsid w:val="006630F1"/>
    <w:rsid w:val="0066546B"/>
    <w:rsid w:val="00671D27"/>
    <w:rsid w:val="006724B4"/>
    <w:rsid w:val="00676275"/>
    <w:rsid w:val="00682FCA"/>
    <w:rsid w:val="00684F28"/>
    <w:rsid w:val="00686ACE"/>
    <w:rsid w:val="0069165A"/>
    <w:rsid w:val="00695E48"/>
    <w:rsid w:val="0069705C"/>
    <w:rsid w:val="006A100D"/>
    <w:rsid w:val="006A1097"/>
    <w:rsid w:val="006A6252"/>
    <w:rsid w:val="006B5F1C"/>
    <w:rsid w:val="006C3C9D"/>
    <w:rsid w:val="006C77E5"/>
    <w:rsid w:val="006D449F"/>
    <w:rsid w:val="006E2DE3"/>
    <w:rsid w:val="006E37EC"/>
    <w:rsid w:val="006E43E3"/>
    <w:rsid w:val="006F0226"/>
    <w:rsid w:val="006F2086"/>
    <w:rsid w:val="006F2ED0"/>
    <w:rsid w:val="006F58B4"/>
    <w:rsid w:val="006F6300"/>
    <w:rsid w:val="007066A3"/>
    <w:rsid w:val="00706986"/>
    <w:rsid w:val="00710557"/>
    <w:rsid w:val="0071181C"/>
    <w:rsid w:val="00711964"/>
    <w:rsid w:val="00716B3E"/>
    <w:rsid w:val="00724888"/>
    <w:rsid w:val="00725A9C"/>
    <w:rsid w:val="00732EFC"/>
    <w:rsid w:val="007454DE"/>
    <w:rsid w:val="0075097F"/>
    <w:rsid w:val="007538B4"/>
    <w:rsid w:val="0075455B"/>
    <w:rsid w:val="0075694B"/>
    <w:rsid w:val="007679B8"/>
    <w:rsid w:val="00767F91"/>
    <w:rsid w:val="007701EF"/>
    <w:rsid w:val="00773560"/>
    <w:rsid w:val="0077370E"/>
    <w:rsid w:val="007743A4"/>
    <w:rsid w:val="0077460B"/>
    <w:rsid w:val="00790925"/>
    <w:rsid w:val="00792534"/>
    <w:rsid w:val="00793226"/>
    <w:rsid w:val="00795169"/>
    <w:rsid w:val="007A4B08"/>
    <w:rsid w:val="007B2279"/>
    <w:rsid w:val="007B6164"/>
    <w:rsid w:val="007C10FA"/>
    <w:rsid w:val="007C1B7A"/>
    <w:rsid w:val="007C6EA8"/>
    <w:rsid w:val="007C7855"/>
    <w:rsid w:val="007D4339"/>
    <w:rsid w:val="007D5150"/>
    <w:rsid w:val="007D5362"/>
    <w:rsid w:val="007E10E5"/>
    <w:rsid w:val="007E1C9C"/>
    <w:rsid w:val="007F34FB"/>
    <w:rsid w:val="007F433A"/>
    <w:rsid w:val="007F5E9D"/>
    <w:rsid w:val="008011B9"/>
    <w:rsid w:val="008022FB"/>
    <w:rsid w:val="00803C61"/>
    <w:rsid w:val="00804C47"/>
    <w:rsid w:val="00806D2D"/>
    <w:rsid w:val="00812B97"/>
    <w:rsid w:val="00813E43"/>
    <w:rsid w:val="00830232"/>
    <w:rsid w:val="00831803"/>
    <w:rsid w:val="00831FC8"/>
    <w:rsid w:val="00833C17"/>
    <w:rsid w:val="008377A8"/>
    <w:rsid w:val="0084686C"/>
    <w:rsid w:val="0084743E"/>
    <w:rsid w:val="00850440"/>
    <w:rsid w:val="00851B34"/>
    <w:rsid w:val="00855B38"/>
    <w:rsid w:val="0086246F"/>
    <w:rsid w:val="00867979"/>
    <w:rsid w:val="00873BE6"/>
    <w:rsid w:val="00875239"/>
    <w:rsid w:val="00881D88"/>
    <w:rsid w:val="00884D04"/>
    <w:rsid w:val="008A29C8"/>
    <w:rsid w:val="008A4827"/>
    <w:rsid w:val="008A5D36"/>
    <w:rsid w:val="008B0FE1"/>
    <w:rsid w:val="008B2A55"/>
    <w:rsid w:val="008C414A"/>
    <w:rsid w:val="008C6812"/>
    <w:rsid w:val="008D1657"/>
    <w:rsid w:val="008D3BAD"/>
    <w:rsid w:val="008D692F"/>
    <w:rsid w:val="008E1D20"/>
    <w:rsid w:val="008E3888"/>
    <w:rsid w:val="008E4A71"/>
    <w:rsid w:val="008E4CA1"/>
    <w:rsid w:val="008E60A5"/>
    <w:rsid w:val="008E7FC2"/>
    <w:rsid w:val="008F1C4A"/>
    <w:rsid w:val="00900C98"/>
    <w:rsid w:val="00902A1E"/>
    <w:rsid w:val="00903A3D"/>
    <w:rsid w:val="00904919"/>
    <w:rsid w:val="00906DD0"/>
    <w:rsid w:val="00917EB6"/>
    <w:rsid w:val="009201CA"/>
    <w:rsid w:val="009237A1"/>
    <w:rsid w:val="00927764"/>
    <w:rsid w:val="0093496B"/>
    <w:rsid w:val="009439FC"/>
    <w:rsid w:val="009441DF"/>
    <w:rsid w:val="00947F28"/>
    <w:rsid w:val="00951C34"/>
    <w:rsid w:val="00954F44"/>
    <w:rsid w:val="00961F57"/>
    <w:rsid w:val="009642CA"/>
    <w:rsid w:val="00966A70"/>
    <w:rsid w:val="00967998"/>
    <w:rsid w:val="00975E2C"/>
    <w:rsid w:val="00981499"/>
    <w:rsid w:val="0098457E"/>
    <w:rsid w:val="00984B4C"/>
    <w:rsid w:val="0099650E"/>
    <w:rsid w:val="009A07B5"/>
    <w:rsid w:val="009A0C67"/>
    <w:rsid w:val="009A354E"/>
    <w:rsid w:val="009A512D"/>
    <w:rsid w:val="009A675C"/>
    <w:rsid w:val="009B3077"/>
    <w:rsid w:val="009B329B"/>
    <w:rsid w:val="009B547B"/>
    <w:rsid w:val="009B6506"/>
    <w:rsid w:val="009C0301"/>
    <w:rsid w:val="009C0AD5"/>
    <w:rsid w:val="009C2DF3"/>
    <w:rsid w:val="009C40CF"/>
    <w:rsid w:val="009C51AA"/>
    <w:rsid w:val="009D2B29"/>
    <w:rsid w:val="009D2B60"/>
    <w:rsid w:val="009D308F"/>
    <w:rsid w:val="009D6CA2"/>
    <w:rsid w:val="009E0F3D"/>
    <w:rsid w:val="009E39E3"/>
    <w:rsid w:val="009E58FD"/>
    <w:rsid w:val="009E659D"/>
    <w:rsid w:val="009F0B67"/>
    <w:rsid w:val="009F641A"/>
    <w:rsid w:val="009F7795"/>
    <w:rsid w:val="00A0472A"/>
    <w:rsid w:val="00A05611"/>
    <w:rsid w:val="00A105D1"/>
    <w:rsid w:val="00A12D08"/>
    <w:rsid w:val="00A147B5"/>
    <w:rsid w:val="00A16527"/>
    <w:rsid w:val="00A208AA"/>
    <w:rsid w:val="00A24973"/>
    <w:rsid w:val="00A25B60"/>
    <w:rsid w:val="00A35C6E"/>
    <w:rsid w:val="00A5026C"/>
    <w:rsid w:val="00A73FCB"/>
    <w:rsid w:val="00A84555"/>
    <w:rsid w:val="00A8469C"/>
    <w:rsid w:val="00AA38AD"/>
    <w:rsid w:val="00AA6C76"/>
    <w:rsid w:val="00AB6B74"/>
    <w:rsid w:val="00AC1360"/>
    <w:rsid w:val="00AC488A"/>
    <w:rsid w:val="00AC5AA4"/>
    <w:rsid w:val="00AC5AF8"/>
    <w:rsid w:val="00AD627A"/>
    <w:rsid w:val="00AE0BB8"/>
    <w:rsid w:val="00AE14C2"/>
    <w:rsid w:val="00AE3904"/>
    <w:rsid w:val="00AE58FB"/>
    <w:rsid w:val="00AF1E8F"/>
    <w:rsid w:val="00AF316A"/>
    <w:rsid w:val="00AF3979"/>
    <w:rsid w:val="00AF5CAA"/>
    <w:rsid w:val="00B03315"/>
    <w:rsid w:val="00B06E39"/>
    <w:rsid w:val="00B1059E"/>
    <w:rsid w:val="00B15B1B"/>
    <w:rsid w:val="00B2448A"/>
    <w:rsid w:val="00B25785"/>
    <w:rsid w:val="00B25CCD"/>
    <w:rsid w:val="00B4432D"/>
    <w:rsid w:val="00B52721"/>
    <w:rsid w:val="00B5472A"/>
    <w:rsid w:val="00B61B3C"/>
    <w:rsid w:val="00B62E31"/>
    <w:rsid w:val="00B632EB"/>
    <w:rsid w:val="00B65D85"/>
    <w:rsid w:val="00B7038E"/>
    <w:rsid w:val="00B70CE3"/>
    <w:rsid w:val="00B73BD9"/>
    <w:rsid w:val="00B76725"/>
    <w:rsid w:val="00B80CF3"/>
    <w:rsid w:val="00B90748"/>
    <w:rsid w:val="00B9720D"/>
    <w:rsid w:val="00B97581"/>
    <w:rsid w:val="00B97E1B"/>
    <w:rsid w:val="00BA0A18"/>
    <w:rsid w:val="00BA346D"/>
    <w:rsid w:val="00BA51A0"/>
    <w:rsid w:val="00BA640B"/>
    <w:rsid w:val="00BA7CAE"/>
    <w:rsid w:val="00BB0BE9"/>
    <w:rsid w:val="00BB2AC3"/>
    <w:rsid w:val="00BB4914"/>
    <w:rsid w:val="00BB784C"/>
    <w:rsid w:val="00BC173F"/>
    <w:rsid w:val="00BC6BC2"/>
    <w:rsid w:val="00BC6BCD"/>
    <w:rsid w:val="00BD4BB3"/>
    <w:rsid w:val="00BD5657"/>
    <w:rsid w:val="00BD6D1C"/>
    <w:rsid w:val="00BE085C"/>
    <w:rsid w:val="00BE2C31"/>
    <w:rsid w:val="00BE537F"/>
    <w:rsid w:val="00BE6C8B"/>
    <w:rsid w:val="00BF054D"/>
    <w:rsid w:val="00BF168A"/>
    <w:rsid w:val="00BF1AA5"/>
    <w:rsid w:val="00BF4A9F"/>
    <w:rsid w:val="00C012D8"/>
    <w:rsid w:val="00C036BD"/>
    <w:rsid w:val="00C053E7"/>
    <w:rsid w:val="00C054B1"/>
    <w:rsid w:val="00C07285"/>
    <w:rsid w:val="00C173C9"/>
    <w:rsid w:val="00C20EE7"/>
    <w:rsid w:val="00C216A7"/>
    <w:rsid w:val="00C37C20"/>
    <w:rsid w:val="00C44BDE"/>
    <w:rsid w:val="00C52E49"/>
    <w:rsid w:val="00C536C2"/>
    <w:rsid w:val="00C54D71"/>
    <w:rsid w:val="00C62430"/>
    <w:rsid w:val="00C67520"/>
    <w:rsid w:val="00C7176D"/>
    <w:rsid w:val="00C71F8E"/>
    <w:rsid w:val="00C81B3C"/>
    <w:rsid w:val="00C82522"/>
    <w:rsid w:val="00C85E07"/>
    <w:rsid w:val="00C87AE0"/>
    <w:rsid w:val="00C969DA"/>
    <w:rsid w:val="00C96C95"/>
    <w:rsid w:val="00CA0566"/>
    <w:rsid w:val="00CB6EEE"/>
    <w:rsid w:val="00CC1E01"/>
    <w:rsid w:val="00CC50AD"/>
    <w:rsid w:val="00CD2128"/>
    <w:rsid w:val="00CD4587"/>
    <w:rsid w:val="00CD5F40"/>
    <w:rsid w:val="00CE3E82"/>
    <w:rsid w:val="00CE5138"/>
    <w:rsid w:val="00CF5CBE"/>
    <w:rsid w:val="00CF6067"/>
    <w:rsid w:val="00D041C0"/>
    <w:rsid w:val="00D07A5A"/>
    <w:rsid w:val="00D1209A"/>
    <w:rsid w:val="00D14A1B"/>
    <w:rsid w:val="00D21A2E"/>
    <w:rsid w:val="00D26B2F"/>
    <w:rsid w:val="00D3144B"/>
    <w:rsid w:val="00D331B5"/>
    <w:rsid w:val="00D46251"/>
    <w:rsid w:val="00D568DF"/>
    <w:rsid w:val="00D56918"/>
    <w:rsid w:val="00D62472"/>
    <w:rsid w:val="00D6364D"/>
    <w:rsid w:val="00D63EED"/>
    <w:rsid w:val="00D643AD"/>
    <w:rsid w:val="00D672A1"/>
    <w:rsid w:val="00D6750D"/>
    <w:rsid w:val="00D67705"/>
    <w:rsid w:val="00D775E2"/>
    <w:rsid w:val="00D918A9"/>
    <w:rsid w:val="00DA1EF9"/>
    <w:rsid w:val="00DA6B4F"/>
    <w:rsid w:val="00DA6B7C"/>
    <w:rsid w:val="00DB0397"/>
    <w:rsid w:val="00DB0A3F"/>
    <w:rsid w:val="00DB3949"/>
    <w:rsid w:val="00DB497B"/>
    <w:rsid w:val="00DB70BF"/>
    <w:rsid w:val="00DB7473"/>
    <w:rsid w:val="00DC4D14"/>
    <w:rsid w:val="00DC790A"/>
    <w:rsid w:val="00DD2BB7"/>
    <w:rsid w:val="00DD37F6"/>
    <w:rsid w:val="00DD6406"/>
    <w:rsid w:val="00DE2CED"/>
    <w:rsid w:val="00DF20F8"/>
    <w:rsid w:val="00DF369E"/>
    <w:rsid w:val="00DF488F"/>
    <w:rsid w:val="00DF5DC2"/>
    <w:rsid w:val="00DF715B"/>
    <w:rsid w:val="00E05ACD"/>
    <w:rsid w:val="00E2148E"/>
    <w:rsid w:val="00E220E9"/>
    <w:rsid w:val="00E226D3"/>
    <w:rsid w:val="00E26B6E"/>
    <w:rsid w:val="00E3139C"/>
    <w:rsid w:val="00E33B74"/>
    <w:rsid w:val="00E354C6"/>
    <w:rsid w:val="00E3739C"/>
    <w:rsid w:val="00E459F9"/>
    <w:rsid w:val="00E472C9"/>
    <w:rsid w:val="00E53D46"/>
    <w:rsid w:val="00E54A44"/>
    <w:rsid w:val="00E5532E"/>
    <w:rsid w:val="00E62D34"/>
    <w:rsid w:val="00E63F9B"/>
    <w:rsid w:val="00E63FC2"/>
    <w:rsid w:val="00E64347"/>
    <w:rsid w:val="00E66271"/>
    <w:rsid w:val="00E672B2"/>
    <w:rsid w:val="00E67B05"/>
    <w:rsid w:val="00E73C05"/>
    <w:rsid w:val="00E73F6A"/>
    <w:rsid w:val="00E8344A"/>
    <w:rsid w:val="00E96895"/>
    <w:rsid w:val="00EA2031"/>
    <w:rsid w:val="00EB6E22"/>
    <w:rsid w:val="00EC0C69"/>
    <w:rsid w:val="00EC200C"/>
    <w:rsid w:val="00EC2EB4"/>
    <w:rsid w:val="00EC63BC"/>
    <w:rsid w:val="00EC7992"/>
    <w:rsid w:val="00EC7C5F"/>
    <w:rsid w:val="00ED1521"/>
    <w:rsid w:val="00ED7C9F"/>
    <w:rsid w:val="00EE70BF"/>
    <w:rsid w:val="00EE76FE"/>
    <w:rsid w:val="00EF10EE"/>
    <w:rsid w:val="00EF2D5E"/>
    <w:rsid w:val="00EF3CD5"/>
    <w:rsid w:val="00F0414F"/>
    <w:rsid w:val="00F069E2"/>
    <w:rsid w:val="00F125F7"/>
    <w:rsid w:val="00F22385"/>
    <w:rsid w:val="00F25841"/>
    <w:rsid w:val="00F314DB"/>
    <w:rsid w:val="00F466C6"/>
    <w:rsid w:val="00F47B54"/>
    <w:rsid w:val="00F50C2B"/>
    <w:rsid w:val="00F613CA"/>
    <w:rsid w:val="00F61F0D"/>
    <w:rsid w:val="00F62A8A"/>
    <w:rsid w:val="00F64160"/>
    <w:rsid w:val="00F662C5"/>
    <w:rsid w:val="00F671FD"/>
    <w:rsid w:val="00F72B43"/>
    <w:rsid w:val="00F8031A"/>
    <w:rsid w:val="00F81FC4"/>
    <w:rsid w:val="00F830C7"/>
    <w:rsid w:val="00F85C6F"/>
    <w:rsid w:val="00F86FD8"/>
    <w:rsid w:val="00F913B1"/>
    <w:rsid w:val="00F95B1E"/>
    <w:rsid w:val="00F95E6E"/>
    <w:rsid w:val="00F9796B"/>
    <w:rsid w:val="00FA12DD"/>
    <w:rsid w:val="00FA6320"/>
    <w:rsid w:val="00FA6ADD"/>
    <w:rsid w:val="00FB0A85"/>
    <w:rsid w:val="00FB0A94"/>
    <w:rsid w:val="00FB54D6"/>
    <w:rsid w:val="00FC17D1"/>
    <w:rsid w:val="00FC51A3"/>
    <w:rsid w:val="00FC7D89"/>
    <w:rsid w:val="00FD166B"/>
    <w:rsid w:val="00FD286F"/>
    <w:rsid w:val="00FD52AB"/>
    <w:rsid w:val="00FE7F62"/>
    <w:rsid w:val="00FF1631"/>
    <w:rsid w:val="00FF2AD7"/>
    <w:rsid w:val="00FF3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91C5D"/>
  <w15:chartTrackingRefBased/>
  <w15:docId w15:val="{A13F4298-4094-44CB-B32B-97751154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4A71"/>
    <w:pPr>
      <w:keepNext/>
      <w:spacing w:after="0" w:line="240" w:lineRule="auto"/>
      <w:outlineLvl w:val="1"/>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E4A71"/>
    <w:rPr>
      <w:rFonts w:ascii="Arial" w:eastAsia="Times New Roman" w:hAnsi="Arial" w:cs="Times New Roman"/>
      <w:sz w:val="28"/>
      <w:szCs w:val="20"/>
      <w:lang w:val="en-US" w:eastAsia="en-GB"/>
    </w:rPr>
  </w:style>
  <w:style w:type="paragraph" w:styleId="BodyText">
    <w:name w:val="Body Text"/>
    <w:basedOn w:val="Normal"/>
    <w:link w:val="BodyTextChar"/>
    <w:rsid w:val="008E4A71"/>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8E4A71"/>
    <w:rPr>
      <w:rFonts w:ascii="Arial" w:eastAsia="Times New Roman" w:hAnsi="Arial" w:cs="Times New Roman"/>
      <w:sz w:val="28"/>
      <w:szCs w:val="20"/>
      <w:lang w:val="en-US" w:eastAsia="en-GB"/>
    </w:rPr>
  </w:style>
  <w:style w:type="paragraph" w:styleId="Footer">
    <w:name w:val="footer"/>
    <w:basedOn w:val="Normal"/>
    <w:link w:val="FooterChar"/>
    <w:uiPriority w:val="99"/>
    <w:unhideWhenUsed/>
    <w:rsid w:val="00E21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48E"/>
  </w:style>
  <w:style w:type="character" w:styleId="CommentReference">
    <w:name w:val="annotation reference"/>
    <w:basedOn w:val="DefaultParagraphFont"/>
    <w:uiPriority w:val="99"/>
    <w:semiHidden/>
    <w:unhideWhenUsed/>
    <w:rsid w:val="00E2148E"/>
    <w:rPr>
      <w:sz w:val="16"/>
      <w:szCs w:val="16"/>
    </w:rPr>
  </w:style>
  <w:style w:type="paragraph" w:styleId="CommentText">
    <w:name w:val="annotation text"/>
    <w:basedOn w:val="Normal"/>
    <w:link w:val="CommentTextChar"/>
    <w:uiPriority w:val="99"/>
    <w:unhideWhenUsed/>
    <w:rsid w:val="00E2148E"/>
    <w:pPr>
      <w:spacing w:after="200" w:line="240" w:lineRule="auto"/>
    </w:pPr>
    <w:rPr>
      <w:sz w:val="20"/>
      <w:szCs w:val="20"/>
    </w:rPr>
  </w:style>
  <w:style w:type="character" w:customStyle="1" w:styleId="CommentTextChar">
    <w:name w:val="Comment Text Char"/>
    <w:basedOn w:val="DefaultParagraphFont"/>
    <w:link w:val="CommentText"/>
    <w:uiPriority w:val="99"/>
    <w:rsid w:val="00E2148E"/>
    <w:rPr>
      <w:sz w:val="20"/>
      <w:szCs w:val="20"/>
    </w:rPr>
  </w:style>
  <w:style w:type="paragraph" w:customStyle="1" w:styleId="PKFNormalNumbered">
    <w:name w:val="PKF Normal Numbered"/>
    <w:basedOn w:val="Normal"/>
    <w:link w:val="PKFNormalNumberedChar"/>
    <w:rsid w:val="00E2148E"/>
    <w:pPr>
      <w:numPr>
        <w:ilvl w:val="1"/>
        <w:numId w:val="1"/>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E2148E"/>
    <w:pPr>
      <w:keepNext/>
      <w:numPr>
        <w:numId w:val="1"/>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E2148E"/>
    <w:rPr>
      <w:rFonts w:ascii="Arial" w:eastAsia="Times New Roman" w:hAnsi="Arial" w:cs="Times New Roman"/>
      <w:sz w:val="20"/>
      <w:szCs w:val="20"/>
      <w:lang w:eastAsia="en-GB"/>
    </w:rPr>
  </w:style>
  <w:style w:type="paragraph" w:styleId="ListParagraph">
    <w:name w:val="List Paragraph"/>
    <w:basedOn w:val="Normal"/>
    <w:uiPriority w:val="34"/>
    <w:qFormat/>
    <w:rsid w:val="00E2148E"/>
    <w:pPr>
      <w:spacing w:after="200" w:line="276" w:lineRule="auto"/>
      <w:ind w:left="720"/>
      <w:contextualSpacing/>
    </w:pPr>
  </w:style>
  <w:style w:type="paragraph" w:styleId="BalloonText">
    <w:name w:val="Balloon Text"/>
    <w:basedOn w:val="Normal"/>
    <w:link w:val="BalloonTextChar"/>
    <w:uiPriority w:val="99"/>
    <w:semiHidden/>
    <w:unhideWhenUsed/>
    <w:rsid w:val="00E2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8E"/>
    <w:rPr>
      <w:rFonts w:ascii="Segoe UI" w:hAnsi="Segoe UI" w:cs="Segoe UI"/>
      <w:sz w:val="18"/>
      <w:szCs w:val="18"/>
    </w:rPr>
  </w:style>
  <w:style w:type="paragraph" w:styleId="EndnoteText">
    <w:name w:val="endnote text"/>
    <w:basedOn w:val="Normal"/>
    <w:link w:val="EndnoteTextChar"/>
    <w:uiPriority w:val="99"/>
    <w:semiHidden/>
    <w:unhideWhenUsed/>
    <w:rsid w:val="00F67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71FD"/>
    <w:rPr>
      <w:sz w:val="20"/>
      <w:szCs w:val="20"/>
    </w:rPr>
  </w:style>
  <w:style w:type="character" w:styleId="EndnoteReference">
    <w:name w:val="endnote reference"/>
    <w:basedOn w:val="DefaultParagraphFont"/>
    <w:uiPriority w:val="99"/>
    <w:semiHidden/>
    <w:unhideWhenUsed/>
    <w:rsid w:val="00F671FD"/>
    <w:rPr>
      <w:vertAlign w:val="superscript"/>
    </w:rPr>
  </w:style>
  <w:style w:type="paragraph" w:styleId="Header">
    <w:name w:val="header"/>
    <w:basedOn w:val="Normal"/>
    <w:link w:val="HeaderChar"/>
    <w:uiPriority w:val="99"/>
    <w:unhideWhenUsed/>
    <w:rsid w:val="00F6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FD"/>
  </w:style>
  <w:style w:type="paragraph" w:styleId="FootnoteText">
    <w:name w:val="footnote text"/>
    <w:basedOn w:val="Normal"/>
    <w:link w:val="FootnoteTextChar"/>
    <w:uiPriority w:val="99"/>
    <w:semiHidden/>
    <w:unhideWhenUsed/>
    <w:rsid w:val="00F67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1FD"/>
    <w:rPr>
      <w:sz w:val="20"/>
      <w:szCs w:val="20"/>
    </w:rPr>
  </w:style>
  <w:style w:type="character" w:styleId="FootnoteReference">
    <w:name w:val="footnote reference"/>
    <w:basedOn w:val="DefaultParagraphFont"/>
    <w:uiPriority w:val="99"/>
    <w:semiHidden/>
    <w:unhideWhenUsed/>
    <w:rsid w:val="00F671FD"/>
    <w:rPr>
      <w:vertAlign w:val="superscript"/>
    </w:rPr>
  </w:style>
  <w:style w:type="paragraph" w:styleId="CommentSubject">
    <w:name w:val="annotation subject"/>
    <w:basedOn w:val="CommentText"/>
    <w:next w:val="CommentText"/>
    <w:link w:val="CommentSubjectChar"/>
    <w:uiPriority w:val="99"/>
    <w:semiHidden/>
    <w:unhideWhenUsed/>
    <w:rsid w:val="002546AF"/>
    <w:pPr>
      <w:spacing w:after="160"/>
    </w:pPr>
    <w:rPr>
      <w:b/>
      <w:bCs/>
    </w:rPr>
  </w:style>
  <w:style w:type="character" w:customStyle="1" w:styleId="CommentSubjectChar">
    <w:name w:val="Comment Subject Char"/>
    <w:basedOn w:val="CommentTextChar"/>
    <w:link w:val="CommentSubject"/>
    <w:uiPriority w:val="99"/>
    <w:semiHidden/>
    <w:rsid w:val="002546AF"/>
    <w:rPr>
      <w:b/>
      <w:bCs/>
      <w:sz w:val="20"/>
      <w:szCs w:val="20"/>
    </w:rPr>
  </w:style>
  <w:style w:type="paragraph" w:customStyle="1" w:styleId="Default">
    <w:name w:val="Default"/>
    <w:rsid w:val="006B5F1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62E31"/>
    <w:pPr>
      <w:spacing w:after="0" w:line="240" w:lineRule="auto"/>
    </w:pPr>
  </w:style>
  <w:style w:type="paragraph" w:customStyle="1" w:styleId="paragraph">
    <w:name w:val="paragraph"/>
    <w:basedOn w:val="Normal"/>
    <w:rsid w:val="001D3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3C3E"/>
  </w:style>
  <w:style w:type="character" w:customStyle="1" w:styleId="eop">
    <w:name w:val="eop"/>
    <w:basedOn w:val="DefaultParagraphFont"/>
    <w:rsid w:val="001D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8201">
      <w:bodyDiv w:val="1"/>
      <w:marLeft w:val="0"/>
      <w:marRight w:val="0"/>
      <w:marTop w:val="0"/>
      <w:marBottom w:val="0"/>
      <w:divBdr>
        <w:top w:val="none" w:sz="0" w:space="0" w:color="auto"/>
        <w:left w:val="none" w:sz="0" w:space="0" w:color="auto"/>
        <w:bottom w:val="none" w:sz="0" w:space="0" w:color="auto"/>
        <w:right w:val="none" w:sz="0" w:space="0" w:color="auto"/>
      </w:divBdr>
    </w:div>
    <w:div w:id="419765663">
      <w:bodyDiv w:val="1"/>
      <w:marLeft w:val="0"/>
      <w:marRight w:val="0"/>
      <w:marTop w:val="0"/>
      <w:marBottom w:val="0"/>
      <w:divBdr>
        <w:top w:val="none" w:sz="0" w:space="0" w:color="auto"/>
        <w:left w:val="none" w:sz="0" w:space="0" w:color="auto"/>
        <w:bottom w:val="none" w:sz="0" w:space="0" w:color="auto"/>
        <w:right w:val="none" w:sz="0" w:space="0" w:color="auto"/>
      </w:divBdr>
      <w:divsChild>
        <w:div w:id="1448936572">
          <w:marLeft w:val="0"/>
          <w:marRight w:val="0"/>
          <w:marTop w:val="0"/>
          <w:marBottom w:val="0"/>
          <w:divBdr>
            <w:top w:val="none" w:sz="0" w:space="0" w:color="auto"/>
            <w:left w:val="none" w:sz="0" w:space="0" w:color="auto"/>
            <w:bottom w:val="none" w:sz="0" w:space="0" w:color="auto"/>
            <w:right w:val="none" w:sz="0" w:space="0" w:color="auto"/>
          </w:divBdr>
          <w:divsChild>
            <w:div w:id="34815119">
              <w:marLeft w:val="0"/>
              <w:marRight w:val="0"/>
              <w:marTop w:val="0"/>
              <w:marBottom w:val="0"/>
              <w:divBdr>
                <w:top w:val="none" w:sz="0" w:space="0" w:color="auto"/>
                <w:left w:val="none" w:sz="0" w:space="0" w:color="auto"/>
                <w:bottom w:val="none" w:sz="0" w:space="0" w:color="auto"/>
                <w:right w:val="none" w:sz="0" w:space="0" w:color="auto"/>
              </w:divBdr>
            </w:div>
          </w:divsChild>
        </w:div>
        <w:div w:id="415707462">
          <w:marLeft w:val="0"/>
          <w:marRight w:val="0"/>
          <w:marTop w:val="0"/>
          <w:marBottom w:val="0"/>
          <w:divBdr>
            <w:top w:val="none" w:sz="0" w:space="0" w:color="auto"/>
            <w:left w:val="none" w:sz="0" w:space="0" w:color="auto"/>
            <w:bottom w:val="none" w:sz="0" w:space="0" w:color="auto"/>
            <w:right w:val="none" w:sz="0" w:space="0" w:color="auto"/>
          </w:divBdr>
          <w:divsChild>
            <w:div w:id="458692470">
              <w:marLeft w:val="0"/>
              <w:marRight w:val="0"/>
              <w:marTop w:val="0"/>
              <w:marBottom w:val="0"/>
              <w:divBdr>
                <w:top w:val="none" w:sz="0" w:space="0" w:color="auto"/>
                <w:left w:val="none" w:sz="0" w:space="0" w:color="auto"/>
                <w:bottom w:val="none" w:sz="0" w:space="0" w:color="auto"/>
                <w:right w:val="none" w:sz="0" w:space="0" w:color="auto"/>
              </w:divBdr>
            </w:div>
          </w:divsChild>
        </w:div>
        <w:div w:id="759564104">
          <w:marLeft w:val="0"/>
          <w:marRight w:val="0"/>
          <w:marTop w:val="0"/>
          <w:marBottom w:val="0"/>
          <w:divBdr>
            <w:top w:val="none" w:sz="0" w:space="0" w:color="auto"/>
            <w:left w:val="none" w:sz="0" w:space="0" w:color="auto"/>
            <w:bottom w:val="none" w:sz="0" w:space="0" w:color="auto"/>
            <w:right w:val="none" w:sz="0" w:space="0" w:color="auto"/>
          </w:divBdr>
          <w:divsChild>
            <w:div w:id="1843814925">
              <w:marLeft w:val="0"/>
              <w:marRight w:val="0"/>
              <w:marTop w:val="0"/>
              <w:marBottom w:val="0"/>
              <w:divBdr>
                <w:top w:val="none" w:sz="0" w:space="0" w:color="auto"/>
                <w:left w:val="none" w:sz="0" w:space="0" w:color="auto"/>
                <w:bottom w:val="none" w:sz="0" w:space="0" w:color="auto"/>
                <w:right w:val="none" w:sz="0" w:space="0" w:color="auto"/>
              </w:divBdr>
            </w:div>
          </w:divsChild>
        </w:div>
        <w:div w:id="382094734">
          <w:marLeft w:val="0"/>
          <w:marRight w:val="0"/>
          <w:marTop w:val="0"/>
          <w:marBottom w:val="0"/>
          <w:divBdr>
            <w:top w:val="none" w:sz="0" w:space="0" w:color="auto"/>
            <w:left w:val="none" w:sz="0" w:space="0" w:color="auto"/>
            <w:bottom w:val="none" w:sz="0" w:space="0" w:color="auto"/>
            <w:right w:val="none" w:sz="0" w:space="0" w:color="auto"/>
          </w:divBdr>
          <w:divsChild>
            <w:div w:id="1516074009">
              <w:marLeft w:val="0"/>
              <w:marRight w:val="0"/>
              <w:marTop w:val="0"/>
              <w:marBottom w:val="0"/>
              <w:divBdr>
                <w:top w:val="none" w:sz="0" w:space="0" w:color="auto"/>
                <w:left w:val="none" w:sz="0" w:space="0" w:color="auto"/>
                <w:bottom w:val="none" w:sz="0" w:space="0" w:color="auto"/>
                <w:right w:val="none" w:sz="0" w:space="0" w:color="auto"/>
              </w:divBdr>
            </w:div>
          </w:divsChild>
        </w:div>
        <w:div w:id="643894956">
          <w:marLeft w:val="0"/>
          <w:marRight w:val="0"/>
          <w:marTop w:val="0"/>
          <w:marBottom w:val="0"/>
          <w:divBdr>
            <w:top w:val="none" w:sz="0" w:space="0" w:color="auto"/>
            <w:left w:val="none" w:sz="0" w:space="0" w:color="auto"/>
            <w:bottom w:val="none" w:sz="0" w:space="0" w:color="auto"/>
            <w:right w:val="none" w:sz="0" w:space="0" w:color="auto"/>
          </w:divBdr>
          <w:divsChild>
            <w:div w:id="1633242348">
              <w:marLeft w:val="0"/>
              <w:marRight w:val="0"/>
              <w:marTop w:val="0"/>
              <w:marBottom w:val="0"/>
              <w:divBdr>
                <w:top w:val="none" w:sz="0" w:space="0" w:color="auto"/>
                <w:left w:val="none" w:sz="0" w:space="0" w:color="auto"/>
                <w:bottom w:val="none" w:sz="0" w:space="0" w:color="auto"/>
                <w:right w:val="none" w:sz="0" w:space="0" w:color="auto"/>
              </w:divBdr>
            </w:div>
          </w:divsChild>
        </w:div>
        <w:div w:id="79916188">
          <w:marLeft w:val="0"/>
          <w:marRight w:val="0"/>
          <w:marTop w:val="0"/>
          <w:marBottom w:val="0"/>
          <w:divBdr>
            <w:top w:val="none" w:sz="0" w:space="0" w:color="auto"/>
            <w:left w:val="none" w:sz="0" w:space="0" w:color="auto"/>
            <w:bottom w:val="none" w:sz="0" w:space="0" w:color="auto"/>
            <w:right w:val="none" w:sz="0" w:space="0" w:color="auto"/>
          </w:divBdr>
          <w:divsChild>
            <w:div w:id="1894731471">
              <w:marLeft w:val="0"/>
              <w:marRight w:val="0"/>
              <w:marTop w:val="0"/>
              <w:marBottom w:val="0"/>
              <w:divBdr>
                <w:top w:val="none" w:sz="0" w:space="0" w:color="auto"/>
                <w:left w:val="none" w:sz="0" w:space="0" w:color="auto"/>
                <w:bottom w:val="none" w:sz="0" w:space="0" w:color="auto"/>
                <w:right w:val="none" w:sz="0" w:space="0" w:color="auto"/>
              </w:divBdr>
            </w:div>
          </w:divsChild>
        </w:div>
        <w:div w:id="1655912346">
          <w:marLeft w:val="0"/>
          <w:marRight w:val="0"/>
          <w:marTop w:val="0"/>
          <w:marBottom w:val="0"/>
          <w:divBdr>
            <w:top w:val="none" w:sz="0" w:space="0" w:color="auto"/>
            <w:left w:val="none" w:sz="0" w:space="0" w:color="auto"/>
            <w:bottom w:val="none" w:sz="0" w:space="0" w:color="auto"/>
            <w:right w:val="none" w:sz="0" w:space="0" w:color="auto"/>
          </w:divBdr>
          <w:divsChild>
            <w:div w:id="1345522251">
              <w:marLeft w:val="0"/>
              <w:marRight w:val="0"/>
              <w:marTop w:val="0"/>
              <w:marBottom w:val="0"/>
              <w:divBdr>
                <w:top w:val="none" w:sz="0" w:space="0" w:color="auto"/>
                <w:left w:val="none" w:sz="0" w:space="0" w:color="auto"/>
                <w:bottom w:val="none" w:sz="0" w:space="0" w:color="auto"/>
                <w:right w:val="none" w:sz="0" w:space="0" w:color="auto"/>
              </w:divBdr>
            </w:div>
          </w:divsChild>
        </w:div>
        <w:div w:id="858347505">
          <w:marLeft w:val="0"/>
          <w:marRight w:val="0"/>
          <w:marTop w:val="0"/>
          <w:marBottom w:val="0"/>
          <w:divBdr>
            <w:top w:val="none" w:sz="0" w:space="0" w:color="auto"/>
            <w:left w:val="none" w:sz="0" w:space="0" w:color="auto"/>
            <w:bottom w:val="none" w:sz="0" w:space="0" w:color="auto"/>
            <w:right w:val="none" w:sz="0" w:space="0" w:color="auto"/>
          </w:divBdr>
          <w:divsChild>
            <w:div w:id="599921143">
              <w:marLeft w:val="0"/>
              <w:marRight w:val="0"/>
              <w:marTop w:val="0"/>
              <w:marBottom w:val="0"/>
              <w:divBdr>
                <w:top w:val="none" w:sz="0" w:space="0" w:color="auto"/>
                <w:left w:val="none" w:sz="0" w:space="0" w:color="auto"/>
                <w:bottom w:val="none" w:sz="0" w:space="0" w:color="auto"/>
                <w:right w:val="none" w:sz="0" w:space="0" w:color="auto"/>
              </w:divBdr>
            </w:div>
          </w:divsChild>
        </w:div>
        <w:div w:id="1061253840">
          <w:marLeft w:val="0"/>
          <w:marRight w:val="0"/>
          <w:marTop w:val="0"/>
          <w:marBottom w:val="0"/>
          <w:divBdr>
            <w:top w:val="none" w:sz="0" w:space="0" w:color="auto"/>
            <w:left w:val="none" w:sz="0" w:space="0" w:color="auto"/>
            <w:bottom w:val="none" w:sz="0" w:space="0" w:color="auto"/>
            <w:right w:val="none" w:sz="0" w:space="0" w:color="auto"/>
          </w:divBdr>
          <w:divsChild>
            <w:div w:id="1352146948">
              <w:marLeft w:val="0"/>
              <w:marRight w:val="0"/>
              <w:marTop w:val="0"/>
              <w:marBottom w:val="0"/>
              <w:divBdr>
                <w:top w:val="none" w:sz="0" w:space="0" w:color="auto"/>
                <w:left w:val="none" w:sz="0" w:space="0" w:color="auto"/>
                <w:bottom w:val="none" w:sz="0" w:space="0" w:color="auto"/>
                <w:right w:val="none" w:sz="0" w:space="0" w:color="auto"/>
              </w:divBdr>
            </w:div>
          </w:divsChild>
        </w:div>
        <w:div w:id="1117529332">
          <w:marLeft w:val="0"/>
          <w:marRight w:val="0"/>
          <w:marTop w:val="0"/>
          <w:marBottom w:val="0"/>
          <w:divBdr>
            <w:top w:val="none" w:sz="0" w:space="0" w:color="auto"/>
            <w:left w:val="none" w:sz="0" w:space="0" w:color="auto"/>
            <w:bottom w:val="none" w:sz="0" w:space="0" w:color="auto"/>
            <w:right w:val="none" w:sz="0" w:space="0" w:color="auto"/>
          </w:divBdr>
          <w:divsChild>
            <w:div w:id="925764767">
              <w:marLeft w:val="0"/>
              <w:marRight w:val="0"/>
              <w:marTop w:val="0"/>
              <w:marBottom w:val="0"/>
              <w:divBdr>
                <w:top w:val="none" w:sz="0" w:space="0" w:color="auto"/>
                <w:left w:val="none" w:sz="0" w:space="0" w:color="auto"/>
                <w:bottom w:val="none" w:sz="0" w:space="0" w:color="auto"/>
                <w:right w:val="none" w:sz="0" w:space="0" w:color="auto"/>
              </w:divBdr>
            </w:div>
          </w:divsChild>
        </w:div>
        <w:div w:id="358773801">
          <w:marLeft w:val="0"/>
          <w:marRight w:val="0"/>
          <w:marTop w:val="0"/>
          <w:marBottom w:val="0"/>
          <w:divBdr>
            <w:top w:val="none" w:sz="0" w:space="0" w:color="auto"/>
            <w:left w:val="none" w:sz="0" w:space="0" w:color="auto"/>
            <w:bottom w:val="none" w:sz="0" w:space="0" w:color="auto"/>
            <w:right w:val="none" w:sz="0" w:space="0" w:color="auto"/>
          </w:divBdr>
          <w:divsChild>
            <w:div w:id="1199204360">
              <w:marLeft w:val="0"/>
              <w:marRight w:val="0"/>
              <w:marTop w:val="0"/>
              <w:marBottom w:val="0"/>
              <w:divBdr>
                <w:top w:val="none" w:sz="0" w:space="0" w:color="auto"/>
                <w:left w:val="none" w:sz="0" w:space="0" w:color="auto"/>
                <w:bottom w:val="none" w:sz="0" w:space="0" w:color="auto"/>
                <w:right w:val="none" w:sz="0" w:space="0" w:color="auto"/>
              </w:divBdr>
            </w:div>
          </w:divsChild>
        </w:div>
        <w:div w:id="1321814599">
          <w:marLeft w:val="0"/>
          <w:marRight w:val="0"/>
          <w:marTop w:val="0"/>
          <w:marBottom w:val="0"/>
          <w:divBdr>
            <w:top w:val="none" w:sz="0" w:space="0" w:color="auto"/>
            <w:left w:val="none" w:sz="0" w:space="0" w:color="auto"/>
            <w:bottom w:val="none" w:sz="0" w:space="0" w:color="auto"/>
            <w:right w:val="none" w:sz="0" w:space="0" w:color="auto"/>
          </w:divBdr>
          <w:divsChild>
            <w:div w:id="20476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679003-6e56-4323-9181-2823256ee718">
      <Terms xmlns="http://schemas.microsoft.com/office/infopath/2007/PartnerControls"/>
    </lcf76f155ced4ddcb4097134ff3c332f>
    <TaxCatchAll xmlns="57bdfe54-2ac7-4ec6-8151-2191b86722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C676506736AD4DA9CFAB02659F7C7C" ma:contentTypeVersion="18" ma:contentTypeDescription="Create a new document." ma:contentTypeScope="" ma:versionID="b20494991bdbc1ece81671d74674617a">
  <xsd:schema xmlns:xsd="http://www.w3.org/2001/XMLSchema" xmlns:xs="http://www.w3.org/2001/XMLSchema" xmlns:p="http://schemas.microsoft.com/office/2006/metadata/properties" xmlns:ns2="bc679003-6e56-4323-9181-2823256ee718" xmlns:ns3="57bdfe54-2ac7-4ec6-8151-2191b86722a0" targetNamespace="http://schemas.microsoft.com/office/2006/metadata/properties" ma:root="true" ma:fieldsID="e41ab90dca4426441564b53f2899f052" ns2:_="" ns3:_="">
    <xsd:import namespace="bc679003-6e56-4323-9181-2823256ee718"/>
    <xsd:import namespace="57bdfe54-2ac7-4ec6-8151-2191b8672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9003-6e56-4323-9181-2823256e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0a7b7d-7d5e-4007-bb9b-fe056b10f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bdfe54-2ac7-4ec6-8151-2191b8672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a7631-dfb8-4abb-982e-6f6f2aa131f3}" ma:internalName="TaxCatchAll" ma:showField="CatchAllData" ma:web="57bdfe54-2ac7-4ec6-8151-2191b8672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A6353-372B-44F1-B0DE-851FB30D6C68}">
  <ds:schemaRefs>
    <ds:schemaRef ds:uri="http://schemas.microsoft.com/office/2006/metadata/properties"/>
    <ds:schemaRef ds:uri="http://schemas.microsoft.com/office/infopath/2007/PartnerControls"/>
    <ds:schemaRef ds:uri="bc679003-6e56-4323-9181-2823256ee718"/>
    <ds:schemaRef ds:uri="57bdfe54-2ac7-4ec6-8151-2191b86722a0"/>
  </ds:schemaRefs>
</ds:datastoreItem>
</file>

<file path=customXml/itemProps2.xml><?xml version="1.0" encoding="utf-8"?>
<ds:datastoreItem xmlns:ds="http://schemas.openxmlformats.org/officeDocument/2006/customXml" ds:itemID="{BD5C0C81-BFC5-46AD-BAF3-C96B95F7378E}">
  <ds:schemaRefs>
    <ds:schemaRef ds:uri="http://schemas.openxmlformats.org/officeDocument/2006/bibliography"/>
  </ds:schemaRefs>
</ds:datastoreItem>
</file>

<file path=customXml/itemProps3.xml><?xml version="1.0" encoding="utf-8"?>
<ds:datastoreItem xmlns:ds="http://schemas.openxmlformats.org/officeDocument/2006/customXml" ds:itemID="{23E4C398-A462-43A0-96FA-B501914A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9003-6e56-4323-9181-2823256ee718"/>
    <ds:schemaRef ds:uri="57bdfe54-2ac7-4ec6-8151-2191b8672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1F8CA-4CAD-407F-93DC-FEDA6246F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6519</Words>
  <Characters>37161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Counsell-Hubbard</dc:creator>
  <cp:keywords/>
  <dc:description/>
  <cp:lastModifiedBy>James Marshall</cp:lastModifiedBy>
  <cp:revision>3</cp:revision>
  <dcterms:created xsi:type="dcterms:W3CDTF">2024-09-04T11:47:00Z</dcterms:created>
  <dcterms:modified xsi:type="dcterms:W3CDTF">2024-09-12T10:30:00Z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0x010100F3C676506736AD4DA9CFAB02659F7C7C</vt:lpwstr>
  </property>
  <property fmtid="{D5CDD505-2E9C-101B-9397-08002B2CF9AE}" pid="3" name="MediaServiceImageTags">
    <vt:lpwstr/>
  </property>
</Properties>
</file>